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E5182" w14:textId="079BEF18" w:rsidR="00C70596" w:rsidRPr="00C70596" w:rsidRDefault="00C70596" w:rsidP="00C70596">
      <w:pPr>
        <w:widowControl w:val="0"/>
        <w:tabs>
          <w:tab w:val="left" w:pos="1701"/>
          <w:tab w:val="right" w:pos="9923"/>
        </w:tabs>
        <w:spacing w:before="120" w:after="0"/>
        <w:jc w:val="left"/>
        <w:rPr>
          <w:rFonts w:eastAsia="MS Mincho"/>
          <w:b/>
          <w:sz w:val="24"/>
          <w:szCs w:val="24"/>
          <w:lang w:val="en-GB" w:eastAsia="en-GB"/>
        </w:rPr>
      </w:pPr>
      <w:r w:rsidRPr="00C70596">
        <w:rPr>
          <w:rFonts w:eastAsia="MS Mincho"/>
          <w:b/>
          <w:sz w:val="24"/>
          <w:szCs w:val="24"/>
          <w:lang w:val="en-GB" w:eastAsia="en-GB"/>
        </w:rPr>
        <w:t>3GPP TSG-RAN WG2 Meeting #115 electronic</w:t>
      </w:r>
      <w:r w:rsidRPr="00C70596">
        <w:rPr>
          <w:rFonts w:eastAsia="MS Mincho"/>
          <w:b/>
          <w:sz w:val="24"/>
          <w:szCs w:val="24"/>
          <w:lang w:val="en-GB" w:eastAsia="en-GB"/>
        </w:rPr>
        <w:tab/>
      </w:r>
      <w:r w:rsidR="009A12D3" w:rsidRPr="009A12D3">
        <w:rPr>
          <w:rFonts w:eastAsia="MS Mincho"/>
          <w:b/>
          <w:sz w:val="24"/>
          <w:szCs w:val="24"/>
          <w:lang w:val="en-GB" w:eastAsia="en-GB"/>
        </w:rPr>
        <w:t>R2-2108438</w:t>
      </w:r>
    </w:p>
    <w:p w14:paraId="4E5ED898" w14:textId="5B05B069" w:rsidR="002932DC" w:rsidRDefault="00C70596" w:rsidP="00C70596">
      <w:pPr>
        <w:widowControl w:val="0"/>
        <w:tabs>
          <w:tab w:val="left" w:pos="1701"/>
          <w:tab w:val="right" w:pos="9923"/>
        </w:tabs>
        <w:spacing w:before="120" w:after="0"/>
        <w:jc w:val="left"/>
        <w:rPr>
          <w:rFonts w:eastAsia="MS Mincho"/>
          <w:b/>
          <w:sz w:val="24"/>
          <w:szCs w:val="24"/>
          <w:lang w:val="en-GB" w:eastAsia="en-GB"/>
        </w:rPr>
      </w:pPr>
      <w:r w:rsidRPr="00C70596">
        <w:rPr>
          <w:rFonts w:eastAsia="MS Mincho"/>
          <w:b/>
          <w:sz w:val="24"/>
          <w:szCs w:val="24"/>
          <w:lang w:val="en-GB" w:eastAsia="en-GB"/>
        </w:rPr>
        <w:t xml:space="preserve">Online, </w:t>
      </w:r>
      <w:r w:rsidR="009A12D3" w:rsidRPr="00C70596">
        <w:rPr>
          <w:rFonts w:eastAsia="MS Mincho"/>
          <w:b/>
          <w:sz w:val="24"/>
          <w:szCs w:val="24"/>
          <w:lang w:val="en-GB" w:eastAsia="en-GB"/>
        </w:rPr>
        <w:t>August</w:t>
      </w:r>
      <w:r w:rsidRPr="00C70596">
        <w:rPr>
          <w:rFonts w:eastAsia="MS Mincho"/>
          <w:b/>
          <w:sz w:val="24"/>
          <w:szCs w:val="24"/>
          <w:lang w:val="en-GB" w:eastAsia="en-GB"/>
        </w:rPr>
        <w:t xml:space="preserve"> 2021</w:t>
      </w:r>
    </w:p>
    <w:p w14:paraId="37FBB244" w14:textId="77777777" w:rsidR="00C70596" w:rsidRPr="006312AA" w:rsidRDefault="00C70596" w:rsidP="00C70596">
      <w:pPr>
        <w:widowControl w:val="0"/>
        <w:tabs>
          <w:tab w:val="left" w:pos="1701"/>
          <w:tab w:val="right" w:pos="9923"/>
        </w:tabs>
        <w:spacing w:before="120" w:after="0"/>
        <w:jc w:val="left"/>
        <w:rPr>
          <w:rFonts w:eastAsia="MS Mincho"/>
          <w:b/>
          <w:sz w:val="24"/>
          <w:szCs w:val="24"/>
          <w:lang w:val="en-GB" w:eastAsia="en-GB"/>
        </w:rPr>
      </w:pPr>
    </w:p>
    <w:p w14:paraId="5852342B" w14:textId="3E28A7FB"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417F07">
        <w:rPr>
          <w:b/>
          <w:sz w:val="24"/>
          <w:szCs w:val="24"/>
        </w:rPr>
        <w:t>8</w:t>
      </w:r>
      <w:r w:rsidR="00E06B55">
        <w:rPr>
          <w:b/>
          <w:sz w:val="24"/>
          <w:szCs w:val="24"/>
        </w:rPr>
        <w:t>.</w:t>
      </w:r>
      <w:r w:rsidR="006A04B2">
        <w:rPr>
          <w:b/>
          <w:sz w:val="24"/>
          <w:szCs w:val="24"/>
        </w:rPr>
        <w:t>4</w:t>
      </w:r>
      <w:r w:rsidR="003822CC">
        <w:rPr>
          <w:b/>
          <w:sz w:val="24"/>
          <w:szCs w:val="24"/>
        </w:rPr>
        <w:t>.</w:t>
      </w:r>
      <w:r w:rsidR="00B52705">
        <w:rPr>
          <w:b/>
          <w:sz w:val="24"/>
          <w:szCs w:val="24"/>
        </w:rPr>
        <w:t>3</w:t>
      </w:r>
    </w:p>
    <w:p w14:paraId="64A845F0"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68FECBE" w14:textId="05EFE6DD" w:rsidR="00745452" w:rsidRDefault="0060603E" w:rsidP="00326FF6">
      <w:pPr>
        <w:ind w:left="1800" w:hanging="1800"/>
        <w:rPr>
          <w:b/>
          <w:sz w:val="24"/>
          <w:szCs w:val="24"/>
        </w:rPr>
      </w:pPr>
      <w:r w:rsidRPr="00212204">
        <w:rPr>
          <w:b/>
          <w:sz w:val="24"/>
          <w:szCs w:val="24"/>
        </w:rPr>
        <w:t>Title:</w:t>
      </w:r>
      <w:r w:rsidR="002D479B" w:rsidRPr="005F705D">
        <w:rPr>
          <w:b/>
          <w:sz w:val="24"/>
          <w:szCs w:val="24"/>
        </w:rPr>
        <w:tab/>
      </w:r>
      <w:r w:rsidR="00F01C1A">
        <w:rPr>
          <w:b/>
          <w:sz w:val="24"/>
          <w:szCs w:val="24"/>
        </w:rPr>
        <w:t xml:space="preserve">Alternatives for </w:t>
      </w:r>
      <w:r w:rsidR="00425CBF">
        <w:rPr>
          <w:b/>
          <w:sz w:val="24"/>
          <w:szCs w:val="24"/>
        </w:rPr>
        <w:t>f</w:t>
      </w:r>
      <w:r w:rsidR="00F01C1A">
        <w:rPr>
          <w:b/>
          <w:sz w:val="24"/>
          <w:szCs w:val="24"/>
        </w:rPr>
        <w:t xml:space="preserve">ull </w:t>
      </w:r>
      <w:r w:rsidR="00425CBF">
        <w:rPr>
          <w:b/>
          <w:sz w:val="24"/>
          <w:szCs w:val="24"/>
        </w:rPr>
        <w:t>i</w:t>
      </w:r>
      <w:r w:rsidR="00F01C1A">
        <w:rPr>
          <w:b/>
          <w:sz w:val="24"/>
          <w:szCs w:val="24"/>
        </w:rPr>
        <w:t xml:space="preserve">nter-donor </w:t>
      </w:r>
      <w:r w:rsidR="00425CBF">
        <w:rPr>
          <w:b/>
          <w:sz w:val="24"/>
          <w:szCs w:val="24"/>
        </w:rPr>
        <w:t>m</w:t>
      </w:r>
      <w:r w:rsidR="00F01C1A">
        <w:rPr>
          <w:b/>
          <w:sz w:val="24"/>
          <w:szCs w:val="24"/>
        </w:rPr>
        <w:t>igration</w:t>
      </w:r>
    </w:p>
    <w:p w14:paraId="7A7A05B8" w14:textId="77777777" w:rsidR="00A64CF7" w:rsidRPr="00A11840" w:rsidRDefault="0060603E" w:rsidP="004131D6">
      <w:pPr>
        <w:ind w:left="1800" w:hanging="1800"/>
        <w:rPr>
          <w:sz w:val="16"/>
          <w:szCs w:val="16"/>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363A55BC" w14:textId="77777777"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rsidRPr="00183CB7">
        <w:t>Introduction</w:t>
      </w:r>
    </w:p>
    <w:p w14:paraId="3641ACCB" w14:textId="4E38AE64" w:rsidR="002F05F3" w:rsidRDefault="00361373" w:rsidP="00A45190">
      <w:pPr>
        <w:rPr>
          <w:rFonts w:ascii="Calibri" w:eastAsia="Malgun Gothic" w:hAnsi="Calibri" w:cs="Batang"/>
          <w:lang w:val="en-GB" w:eastAsia="ko-KR"/>
        </w:rPr>
      </w:pPr>
      <w:r>
        <w:rPr>
          <w:rFonts w:ascii="Calibri" w:eastAsia="Malgun Gothic" w:hAnsi="Calibri" w:cs="Batang"/>
          <w:lang w:val="en-GB" w:eastAsia="ko-KR"/>
        </w:rPr>
        <w:t>An i</w:t>
      </w:r>
      <w:r w:rsidR="00896EDD">
        <w:rPr>
          <w:rFonts w:ascii="Calibri" w:eastAsia="Malgun Gothic" w:hAnsi="Calibri" w:cs="Batang"/>
          <w:lang w:val="en-GB" w:eastAsia="ko-KR"/>
        </w:rPr>
        <w:t>ncoming LS from RAN3 [1] discusses</w:t>
      </w:r>
      <w:r>
        <w:rPr>
          <w:rFonts w:ascii="Calibri" w:eastAsia="Malgun Gothic" w:hAnsi="Calibri" w:cs="Batang"/>
          <w:lang w:val="en-GB" w:eastAsia="ko-KR"/>
        </w:rPr>
        <w:t xml:space="preserve"> </w:t>
      </w:r>
      <w:r w:rsidR="00A93B35">
        <w:rPr>
          <w:rFonts w:ascii="Calibri" w:eastAsia="Malgun Gothic" w:hAnsi="Calibri" w:cs="Batang"/>
          <w:lang w:val="en-GB" w:eastAsia="ko-KR"/>
        </w:rPr>
        <w:t xml:space="preserve">two </w:t>
      </w:r>
      <w:r>
        <w:rPr>
          <w:rFonts w:ascii="Calibri" w:eastAsia="Malgun Gothic" w:hAnsi="Calibri" w:cs="Batang"/>
          <w:lang w:val="en-GB" w:eastAsia="ko-KR"/>
        </w:rPr>
        <w:t xml:space="preserve">alternatives for full migration of </w:t>
      </w:r>
      <w:r w:rsidR="008024DD">
        <w:rPr>
          <w:rFonts w:ascii="Calibri" w:eastAsia="Malgun Gothic" w:hAnsi="Calibri" w:cs="Batang"/>
          <w:lang w:val="en-GB" w:eastAsia="ko-KR"/>
        </w:rPr>
        <w:t xml:space="preserve">an </w:t>
      </w:r>
      <w:r>
        <w:rPr>
          <w:rFonts w:ascii="Calibri" w:eastAsia="Malgun Gothic" w:hAnsi="Calibri" w:cs="Batang"/>
          <w:lang w:val="en-GB" w:eastAsia="ko-KR"/>
        </w:rPr>
        <w:t>IAB-node</w:t>
      </w:r>
      <w:r w:rsidR="003D3C86">
        <w:rPr>
          <w:rFonts w:ascii="Calibri" w:eastAsia="Malgun Gothic" w:hAnsi="Calibri" w:cs="Batang"/>
          <w:lang w:val="en-GB" w:eastAsia="ko-KR"/>
        </w:rPr>
        <w:t xml:space="preserve"> and served UEs</w:t>
      </w:r>
      <w:r>
        <w:rPr>
          <w:rFonts w:ascii="Calibri" w:eastAsia="Malgun Gothic" w:hAnsi="Calibri" w:cs="Batang"/>
          <w:lang w:val="en-GB" w:eastAsia="ko-KR"/>
        </w:rPr>
        <w:t xml:space="preserve"> from</w:t>
      </w:r>
      <w:r w:rsidR="00A45190">
        <w:rPr>
          <w:rFonts w:ascii="Calibri" w:eastAsia="Malgun Gothic" w:hAnsi="Calibri" w:cs="Batang"/>
          <w:lang w:val="en-GB" w:eastAsia="ko-KR"/>
        </w:rPr>
        <w:t xml:space="preserve"> one IAB-donor to another. Note that RAN3 has already agreed to partial inter-donor migratio</w:t>
      </w:r>
      <w:r w:rsidR="003D3C86">
        <w:rPr>
          <w:rFonts w:ascii="Calibri" w:eastAsia="Malgun Gothic" w:hAnsi="Calibri" w:cs="Batang"/>
          <w:lang w:val="en-GB" w:eastAsia="ko-KR"/>
        </w:rPr>
        <w:t>n, where only the IAB-MT of the migrating IAB-node transitions to the target donor. Currently, RAN3</w:t>
      </w:r>
      <w:r w:rsidR="00A45190">
        <w:rPr>
          <w:rFonts w:ascii="Calibri" w:eastAsia="Malgun Gothic" w:hAnsi="Calibri" w:cs="Batang"/>
          <w:lang w:val="en-GB" w:eastAsia="ko-KR"/>
        </w:rPr>
        <w:t xml:space="preserve"> is considering full migration</w:t>
      </w:r>
      <w:r w:rsidR="00B748DC">
        <w:rPr>
          <w:rFonts w:ascii="Calibri" w:eastAsia="Malgun Gothic" w:hAnsi="Calibri" w:cs="Batang"/>
          <w:lang w:val="en-GB" w:eastAsia="ko-KR"/>
        </w:rPr>
        <w:t xml:space="preserve"> with the alternatives described in the LS</w:t>
      </w:r>
      <w:r w:rsidR="00A45190">
        <w:rPr>
          <w:rFonts w:ascii="Calibri" w:eastAsia="Malgun Gothic" w:hAnsi="Calibri" w:cs="Batang"/>
          <w:lang w:val="en-GB" w:eastAsia="ko-KR"/>
        </w:rPr>
        <w:t xml:space="preserve">. During full migration, after the IAB-MT has been transitioned from the source donor to target donor, the IAB-DU part of the IAB-node needs to be migrated to the target donor in order to avoid </w:t>
      </w:r>
      <w:r w:rsidR="00A93B35">
        <w:rPr>
          <w:rFonts w:ascii="Calibri" w:eastAsia="Malgun Gothic" w:hAnsi="Calibri" w:cs="Batang"/>
          <w:lang w:val="en-GB" w:eastAsia="ko-KR"/>
        </w:rPr>
        <w:t xml:space="preserve">the inefficiencies associated with looping traffic through the </w:t>
      </w:r>
      <w:r w:rsidR="00AA63E0">
        <w:rPr>
          <w:rFonts w:ascii="Calibri" w:eastAsia="Malgun Gothic" w:hAnsi="Calibri" w:cs="Batang"/>
          <w:lang w:val="en-GB" w:eastAsia="ko-KR"/>
        </w:rPr>
        <w:t>source donor. However, since a gNB-DU cannot simultaneously support more than one F1 interface, both alternatives discussed in the LS</w:t>
      </w:r>
      <w:r w:rsidR="00A45190">
        <w:rPr>
          <w:rFonts w:ascii="Calibri" w:eastAsia="Malgun Gothic" w:hAnsi="Calibri" w:cs="Batang"/>
          <w:lang w:val="en-GB" w:eastAsia="ko-KR"/>
        </w:rPr>
        <w:t xml:space="preserve"> assume the use of two separate logical DUs at the migrating IAB-node </w:t>
      </w:r>
      <w:r w:rsidR="00AA63E0">
        <w:rPr>
          <w:rFonts w:ascii="Calibri" w:eastAsia="Malgun Gothic" w:hAnsi="Calibri" w:cs="Batang"/>
          <w:lang w:val="en-GB" w:eastAsia="ko-KR"/>
        </w:rPr>
        <w:t xml:space="preserve">so as </w:t>
      </w:r>
      <w:r w:rsidR="00A45190">
        <w:rPr>
          <w:rFonts w:ascii="Calibri" w:eastAsia="Malgun Gothic" w:hAnsi="Calibri" w:cs="Batang"/>
          <w:lang w:val="en-GB" w:eastAsia="ko-KR"/>
        </w:rPr>
        <w:t xml:space="preserve">to </w:t>
      </w:r>
      <w:r w:rsidR="000B0821">
        <w:rPr>
          <w:rFonts w:ascii="Calibri" w:eastAsia="Malgun Gothic" w:hAnsi="Calibri" w:cs="Batang"/>
          <w:lang w:val="en-GB" w:eastAsia="ko-KR"/>
        </w:rPr>
        <w:t xml:space="preserve">maximize </w:t>
      </w:r>
      <w:r w:rsidR="00A45190">
        <w:rPr>
          <w:rFonts w:ascii="Calibri" w:eastAsia="Malgun Gothic" w:hAnsi="Calibri" w:cs="Batang"/>
          <w:lang w:val="en-GB" w:eastAsia="ko-KR"/>
        </w:rPr>
        <w:t>reuse</w:t>
      </w:r>
      <w:r w:rsidR="000B0821">
        <w:rPr>
          <w:rFonts w:ascii="Calibri" w:eastAsia="Malgun Gothic" w:hAnsi="Calibri" w:cs="Batang"/>
          <w:lang w:val="en-GB" w:eastAsia="ko-KR"/>
        </w:rPr>
        <w:t xml:space="preserve"> of</w:t>
      </w:r>
      <w:r w:rsidR="00A45190">
        <w:rPr>
          <w:rFonts w:ascii="Calibri" w:eastAsia="Malgun Gothic" w:hAnsi="Calibri" w:cs="Batang"/>
          <w:lang w:val="en-GB" w:eastAsia="ko-KR"/>
        </w:rPr>
        <w:t xml:space="preserve"> existing procedures. </w:t>
      </w:r>
      <w:r w:rsidR="00F012DD">
        <w:rPr>
          <w:rFonts w:ascii="Calibri" w:eastAsia="Malgun Gothic" w:hAnsi="Calibri" w:cs="Batang"/>
          <w:lang w:val="en-GB" w:eastAsia="ko-KR"/>
        </w:rPr>
        <w:t>The two alternatives described in the LS are listed below</w:t>
      </w:r>
      <w:r w:rsidR="00896770">
        <w:rPr>
          <w:rFonts w:ascii="Calibri" w:eastAsia="Malgun Gothic" w:hAnsi="Calibri" w:cs="Batang"/>
          <w:lang w:val="en-GB" w:eastAsia="ko-KR"/>
        </w:rPr>
        <w:t xml:space="preserve"> along with the figure showing inter-node migration for ease of discussion</w:t>
      </w:r>
      <w:r w:rsidR="00F012DD">
        <w:rPr>
          <w:rFonts w:ascii="Calibri" w:eastAsia="Malgun Gothic" w:hAnsi="Calibri" w:cs="Batang"/>
          <w:lang w:val="en-GB" w:eastAsia="ko-KR"/>
        </w:rPr>
        <w:t>:</w:t>
      </w:r>
    </w:p>
    <w:p w14:paraId="74FB0B4A" w14:textId="77777777" w:rsidR="00A45190" w:rsidRDefault="00A45190" w:rsidP="00A45190">
      <w:pPr>
        <w:widowControl w:val="0"/>
        <w:rPr>
          <w:rFonts w:cs="Arial"/>
          <w:lang w:eastAsia="zh-CN"/>
        </w:rPr>
      </w:pPr>
      <w:r>
        <w:rPr>
          <w:rFonts w:cs="Arial"/>
          <w:lang w:eastAsia="zh-CN"/>
        </w:rPr>
        <w:t xml:space="preserve">- </w:t>
      </w:r>
      <w:r>
        <w:rPr>
          <w:rFonts w:cs="Arial"/>
          <w:b/>
          <w:lang w:eastAsia="zh-CN"/>
        </w:rPr>
        <w:t>Alt1</w:t>
      </w:r>
      <w:r>
        <w:rPr>
          <w:rFonts w:cs="Arial"/>
          <w:lang w:eastAsia="zh-CN"/>
        </w:rPr>
        <w:t>: the two logical DUs use separate physical cell resources</w:t>
      </w:r>
    </w:p>
    <w:p w14:paraId="5DED03CD" w14:textId="77777777" w:rsidR="00A45190" w:rsidRDefault="00A45190" w:rsidP="00A45190">
      <w:pPr>
        <w:widowControl w:val="0"/>
        <w:rPr>
          <w:rFonts w:cs="Arial"/>
          <w:lang w:eastAsia="zh-CN"/>
        </w:rPr>
      </w:pPr>
      <w:r>
        <w:rPr>
          <w:rFonts w:cs="Arial"/>
          <w:lang w:eastAsia="zh-CN"/>
        </w:rPr>
        <w:t xml:space="preserve">- </w:t>
      </w:r>
      <w:r>
        <w:rPr>
          <w:rFonts w:cs="Arial"/>
          <w:b/>
          <w:lang w:eastAsia="zh-CN"/>
        </w:rPr>
        <w:t>Alt2</w:t>
      </w:r>
      <w:r>
        <w:rPr>
          <w:rFonts w:cs="Arial"/>
          <w:lang w:eastAsia="zh-CN"/>
        </w:rPr>
        <w:t>: the two logical DUs use the same physical cell resources</w:t>
      </w:r>
    </w:p>
    <w:p w14:paraId="01E02107" w14:textId="25928197" w:rsidR="00896770" w:rsidRDefault="00FA102D" w:rsidP="00896770">
      <w:pPr>
        <w:jc w:val="center"/>
        <w:rPr>
          <w:rFonts w:ascii="Calibri" w:eastAsia="Malgun Gothic" w:hAnsi="Calibri" w:cs="Batang"/>
          <w:lang w:val="en-GB" w:eastAsia="ko-KR"/>
        </w:rPr>
      </w:pPr>
      <w:r w:rsidRPr="00FA102D">
        <w:rPr>
          <w:rFonts w:asciiTheme="minorHAnsi" w:eastAsiaTheme="minorHAnsi" w:hAnsiTheme="minorHAnsi" w:cstheme="minorBidi"/>
          <w:noProof/>
          <w:sz w:val="22"/>
          <w:szCs w:val="22"/>
        </w:rPr>
        <w:object w:dxaOrig="6930" w:dyaOrig="3720" w14:anchorId="782E5C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7pt;height:186pt;mso-width-percent:0;mso-height-percent:0;mso-width-percent:0;mso-height-percent:0" o:ole="">
            <v:imagedata r:id="rId8" o:title=""/>
          </v:shape>
          <o:OLEObject Type="Embed" ProgID="Visio.Drawing.15" ShapeID="_x0000_i1025" DrawAspect="Content" ObjectID="_1689689302" r:id="rId9"/>
        </w:object>
      </w:r>
    </w:p>
    <w:p w14:paraId="09310283" w14:textId="03D6B463" w:rsidR="00896770" w:rsidRDefault="000B0821" w:rsidP="00896770">
      <w:pPr>
        <w:jc w:val="center"/>
        <w:rPr>
          <w:rFonts w:ascii="Calibri" w:eastAsia="Malgun Gothic" w:hAnsi="Calibri" w:cs="Batang"/>
          <w:lang w:val="en-GB" w:eastAsia="ko-KR"/>
        </w:rPr>
      </w:pPr>
      <w:r>
        <w:rPr>
          <w:rFonts w:ascii="Calibri" w:eastAsia="Malgun Gothic" w:hAnsi="Calibri" w:cs="Batang"/>
          <w:lang w:val="en-GB" w:eastAsia="ko-KR"/>
        </w:rPr>
        <w:t xml:space="preserve">Figure 1: </w:t>
      </w:r>
      <w:r w:rsidR="00A9046E">
        <w:rPr>
          <w:rFonts w:ascii="Calibri" w:eastAsia="Malgun Gothic" w:hAnsi="Calibri" w:cs="Batang"/>
          <w:lang w:val="en-GB" w:eastAsia="ko-KR"/>
        </w:rPr>
        <w:t>Full migration using two logical IAB-DUs [1]</w:t>
      </w:r>
    </w:p>
    <w:p w14:paraId="597DA981" w14:textId="0E5FB860" w:rsidR="004A7002" w:rsidRPr="004131D6" w:rsidRDefault="00A45190" w:rsidP="004A7002">
      <w:pPr>
        <w:rPr>
          <w:rFonts w:ascii="Calibri" w:eastAsia="Malgun Gothic" w:hAnsi="Calibri" w:cs="Batang"/>
          <w:lang w:val="en-GB" w:eastAsia="ko-KR"/>
        </w:rPr>
      </w:pPr>
      <w:r>
        <w:rPr>
          <w:rFonts w:ascii="Calibri" w:eastAsia="Malgun Gothic" w:hAnsi="Calibri" w:cs="Batang"/>
          <w:lang w:val="en-GB" w:eastAsia="ko-KR"/>
        </w:rPr>
        <w:t xml:space="preserve">In this contribution we provide views on these two alternatives for full </w:t>
      </w:r>
      <w:r w:rsidR="00F012DD">
        <w:rPr>
          <w:rFonts w:ascii="Calibri" w:eastAsia="Malgun Gothic" w:hAnsi="Calibri" w:cs="Batang"/>
          <w:lang w:val="en-GB" w:eastAsia="ko-KR"/>
        </w:rPr>
        <w:t xml:space="preserve">inter-donor </w:t>
      </w:r>
      <w:r>
        <w:rPr>
          <w:rFonts w:ascii="Calibri" w:eastAsia="Malgun Gothic" w:hAnsi="Calibri" w:cs="Batang"/>
          <w:lang w:val="en-GB" w:eastAsia="ko-KR"/>
        </w:rPr>
        <w:t>migration and make some observations and proposals</w:t>
      </w:r>
      <w:r w:rsidR="004A7002" w:rsidRPr="004131D6">
        <w:rPr>
          <w:rFonts w:ascii="Calibri" w:eastAsia="Malgun Gothic" w:hAnsi="Calibri" w:cs="Batang"/>
          <w:lang w:val="en-GB" w:eastAsia="ko-KR"/>
        </w:rPr>
        <w:t>.</w:t>
      </w:r>
    </w:p>
    <w:p w14:paraId="44DCACF4" w14:textId="0280F12B" w:rsidR="004A7002" w:rsidRDefault="00896770"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Logical DUs with separate vs. same physical cell resources</w:t>
      </w:r>
    </w:p>
    <w:p w14:paraId="60E3E67A" w14:textId="7151D53A" w:rsidR="004A7002" w:rsidRDefault="003D3C86" w:rsidP="004A7002">
      <w:pPr>
        <w:rPr>
          <w:rFonts w:ascii="Calibri" w:eastAsia="Malgun Gothic" w:hAnsi="Calibri" w:cs="Batang"/>
          <w:lang w:val="en-GB" w:eastAsia="ko-KR"/>
        </w:rPr>
      </w:pPr>
      <w:r>
        <w:rPr>
          <w:rFonts w:ascii="Calibri" w:eastAsia="Malgun Gothic" w:hAnsi="Calibri" w:cs="Batang"/>
          <w:lang w:val="en-GB" w:eastAsia="ko-KR"/>
        </w:rPr>
        <w:t>Alternative 1 for full migration assumes that the two logical DUs use separate resources, which includes separate air interface resources and spectrum. Essentially</w:t>
      </w:r>
      <w:r w:rsidR="000F79DA">
        <w:rPr>
          <w:rFonts w:ascii="Calibri" w:eastAsia="Malgun Gothic" w:hAnsi="Calibri" w:cs="Batang"/>
          <w:lang w:val="en-GB" w:eastAsia="ko-KR"/>
        </w:rPr>
        <w:t>,</w:t>
      </w:r>
      <w:r>
        <w:rPr>
          <w:rFonts w:ascii="Calibri" w:eastAsia="Malgun Gothic" w:hAnsi="Calibri" w:cs="Batang"/>
          <w:lang w:val="en-GB" w:eastAsia="ko-KR"/>
        </w:rPr>
        <w:t xml:space="preserve"> </w:t>
      </w:r>
      <w:r w:rsidR="003B5C11">
        <w:rPr>
          <w:rFonts w:ascii="Calibri" w:eastAsia="Malgun Gothic" w:hAnsi="Calibri" w:cs="Batang"/>
          <w:lang w:val="en-GB" w:eastAsia="ko-KR"/>
        </w:rPr>
        <w:t>Alternative</w:t>
      </w:r>
      <w:r>
        <w:rPr>
          <w:rFonts w:ascii="Calibri" w:eastAsia="Malgun Gothic" w:hAnsi="Calibri" w:cs="Batang"/>
          <w:lang w:val="en-GB" w:eastAsia="ko-KR"/>
        </w:rPr>
        <w:t xml:space="preserve"> 1 sets up two separate </w:t>
      </w:r>
      <w:r w:rsidR="001331AC">
        <w:rPr>
          <w:rFonts w:ascii="Calibri" w:eastAsia="Malgun Gothic" w:hAnsi="Calibri" w:cs="Batang"/>
          <w:lang w:val="en-GB" w:eastAsia="ko-KR"/>
        </w:rPr>
        <w:t xml:space="preserve">logical </w:t>
      </w:r>
      <w:r>
        <w:rPr>
          <w:rFonts w:ascii="Calibri" w:eastAsia="Malgun Gothic" w:hAnsi="Calibri" w:cs="Batang"/>
          <w:lang w:val="en-GB" w:eastAsia="ko-KR"/>
        </w:rPr>
        <w:t xml:space="preserve">cells covering the same area </w:t>
      </w:r>
      <w:r w:rsidR="001331AC">
        <w:rPr>
          <w:rFonts w:ascii="Calibri" w:eastAsia="Malgun Gothic" w:hAnsi="Calibri" w:cs="Batang"/>
          <w:lang w:val="en-GB" w:eastAsia="ko-KR"/>
        </w:rPr>
        <w:t xml:space="preserve">and set of served UEs </w:t>
      </w:r>
      <w:r>
        <w:rPr>
          <w:rFonts w:ascii="Calibri" w:eastAsia="Malgun Gothic" w:hAnsi="Calibri" w:cs="Batang"/>
          <w:lang w:val="en-GB" w:eastAsia="ko-KR"/>
        </w:rPr>
        <w:t>using p</w:t>
      </w:r>
      <w:r w:rsidR="001331AC">
        <w:rPr>
          <w:rFonts w:ascii="Calibri" w:eastAsia="Malgun Gothic" w:hAnsi="Calibri" w:cs="Batang"/>
          <w:lang w:val="en-GB" w:eastAsia="ko-KR"/>
        </w:rPr>
        <w:t>artitioned</w:t>
      </w:r>
      <w:r>
        <w:rPr>
          <w:rFonts w:ascii="Calibri" w:eastAsia="Malgun Gothic" w:hAnsi="Calibri" w:cs="Batang"/>
          <w:lang w:val="en-GB" w:eastAsia="ko-KR"/>
        </w:rPr>
        <w:t xml:space="preserve"> radio resources, and uses existing handover procedures to hand over UEs from one cell to another to complete the </w:t>
      </w:r>
      <w:r w:rsidR="000F79DA">
        <w:rPr>
          <w:rFonts w:ascii="Calibri" w:eastAsia="Malgun Gothic" w:hAnsi="Calibri" w:cs="Batang"/>
          <w:lang w:val="en-GB" w:eastAsia="ko-KR"/>
        </w:rPr>
        <w:t xml:space="preserve">full inter-donor </w:t>
      </w:r>
      <w:r>
        <w:rPr>
          <w:rFonts w:ascii="Calibri" w:eastAsia="Malgun Gothic" w:hAnsi="Calibri" w:cs="Batang"/>
          <w:lang w:val="en-GB" w:eastAsia="ko-KR"/>
        </w:rPr>
        <w:t xml:space="preserve">migration. </w:t>
      </w:r>
    </w:p>
    <w:p w14:paraId="75C40CCE" w14:textId="3491D71D" w:rsidR="001331AC" w:rsidRDefault="001331AC" w:rsidP="004A7002">
      <w:pPr>
        <w:rPr>
          <w:rFonts w:ascii="Calibri" w:eastAsia="Malgun Gothic" w:hAnsi="Calibri" w:cs="Batang"/>
          <w:lang w:val="en-GB" w:eastAsia="ko-KR"/>
        </w:rPr>
      </w:pPr>
      <w:r>
        <w:rPr>
          <w:rFonts w:ascii="Calibri" w:eastAsia="Malgun Gothic" w:hAnsi="Calibri" w:cs="Batang"/>
          <w:lang w:val="en-GB" w:eastAsia="ko-KR"/>
        </w:rPr>
        <w:lastRenderedPageBreak/>
        <w:t xml:space="preserve">While </w:t>
      </w:r>
      <w:r w:rsidR="003B5C11">
        <w:rPr>
          <w:rFonts w:ascii="Calibri" w:eastAsia="Malgun Gothic" w:hAnsi="Calibri" w:cs="Batang"/>
          <w:lang w:val="en-GB" w:eastAsia="ko-KR"/>
        </w:rPr>
        <w:t>Alternative</w:t>
      </w:r>
      <w:r>
        <w:rPr>
          <w:rFonts w:ascii="Calibri" w:eastAsia="Malgun Gothic" w:hAnsi="Calibri" w:cs="Batang"/>
          <w:lang w:val="en-GB" w:eastAsia="ko-KR"/>
        </w:rPr>
        <w:t xml:space="preserve"> 1 definitely works, and reuses legacy handover procedures without any UE impact, from an operator’s perspective it is by far the poorer alternative among the two choices being considered. Network capacity and user experience are two key KPIs that are of great importance to an operator. Dividing radio resources in a given cell into two parts to support migration of devices </w:t>
      </w:r>
      <w:r w:rsidR="000F79DA">
        <w:rPr>
          <w:rFonts w:ascii="Calibri" w:eastAsia="Malgun Gothic" w:hAnsi="Calibri" w:cs="Batang"/>
          <w:lang w:val="en-GB" w:eastAsia="ko-KR"/>
        </w:rPr>
        <w:t xml:space="preserve">negatively </w:t>
      </w:r>
      <w:r>
        <w:rPr>
          <w:rFonts w:ascii="Calibri" w:eastAsia="Malgun Gothic" w:hAnsi="Calibri" w:cs="Batang"/>
          <w:lang w:val="en-GB" w:eastAsia="ko-KR"/>
        </w:rPr>
        <w:t>affects both of these KPIs</w:t>
      </w:r>
      <w:r w:rsidR="000F79DA">
        <w:rPr>
          <w:rFonts w:ascii="Calibri" w:eastAsia="Malgun Gothic" w:hAnsi="Calibri" w:cs="Batang"/>
          <w:lang w:val="en-GB" w:eastAsia="ko-KR"/>
        </w:rPr>
        <w:t xml:space="preserve"> quite significantly</w:t>
      </w:r>
      <w:r>
        <w:rPr>
          <w:rFonts w:ascii="Calibri" w:eastAsia="Malgun Gothic" w:hAnsi="Calibri" w:cs="Batang"/>
          <w:lang w:val="en-GB" w:eastAsia="ko-KR"/>
        </w:rPr>
        <w:t xml:space="preserve">. </w:t>
      </w:r>
    </w:p>
    <w:p w14:paraId="40356AB1" w14:textId="314E38F9" w:rsidR="005F060D" w:rsidRPr="005F060D" w:rsidRDefault="005F060D" w:rsidP="004A7002">
      <w:pPr>
        <w:rPr>
          <w:rFonts w:ascii="Calibri" w:eastAsia="Malgun Gothic" w:hAnsi="Calibri" w:cs="Batang"/>
          <w:b/>
          <w:bCs/>
          <w:lang w:val="en-GB" w:eastAsia="ko-KR"/>
        </w:rPr>
      </w:pPr>
      <w:r w:rsidRPr="005F060D">
        <w:rPr>
          <w:rFonts w:ascii="Calibri" w:eastAsia="Malgun Gothic" w:hAnsi="Calibri" w:cs="Batang"/>
          <w:b/>
          <w:bCs/>
          <w:lang w:val="en-GB" w:eastAsia="ko-KR"/>
        </w:rPr>
        <w:t xml:space="preserve">Observation 1: Alternative 1 with separate physical cell resources </w:t>
      </w:r>
      <w:r w:rsidR="000F79DA">
        <w:rPr>
          <w:rFonts w:ascii="Calibri" w:eastAsia="Malgun Gothic" w:hAnsi="Calibri" w:cs="Batang"/>
          <w:b/>
          <w:bCs/>
          <w:lang w:val="en-GB" w:eastAsia="ko-KR"/>
        </w:rPr>
        <w:t xml:space="preserve">negatively </w:t>
      </w:r>
      <w:r w:rsidRPr="005F060D">
        <w:rPr>
          <w:rFonts w:ascii="Calibri" w:eastAsia="Malgun Gothic" w:hAnsi="Calibri" w:cs="Batang"/>
          <w:b/>
          <w:bCs/>
          <w:lang w:val="en-GB" w:eastAsia="ko-KR"/>
        </w:rPr>
        <w:t>impacts both capacity and user experience</w:t>
      </w:r>
      <w:r w:rsidR="00047F96">
        <w:rPr>
          <w:rFonts w:ascii="Calibri" w:eastAsia="Malgun Gothic" w:hAnsi="Calibri" w:cs="Batang"/>
          <w:b/>
          <w:bCs/>
          <w:lang w:val="en-GB" w:eastAsia="ko-KR"/>
        </w:rPr>
        <w:t>,</w:t>
      </w:r>
      <w:bookmarkStart w:id="2" w:name="_GoBack"/>
      <w:bookmarkEnd w:id="2"/>
      <w:r w:rsidRPr="005F060D">
        <w:rPr>
          <w:rFonts w:ascii="Calibri" w:eastAsia="Malgun Gothic" w:hAnsi="Calibri" w:cs="Batang"/>
          <w:b/>
          <w:bCs/>
          <w:lang w:val="en-GB" w:eastAsia="ko-KR"/>
        </w:rPr>
        <w:t xml:space="preserve"> making it a poor choice.</w:t>
      </w:r>
    </w:p>
    <w:p w14:paraId="47FF3B27" w14:textId="3A3D3CF9" w:rsidR="005F060D" w:rsidRDefault="005F060D" w:rsidP="004A7002">
      <w:pPr>
        <w:rPr>
          <w:rFonts w:ascii="Calibri" w:eastAsia="Malgun Gothic" w:hAnsi="Calibri" w:cs="Batang"/>
          <w:lang w:val="en-GB" w:eastAsia="ko-KR"/>
        </w:rPr>
      </w:pPr>
      <w:r>
        <w:rPr>
          <w:rFonts w:ascii="Calibri" w:eastAsia="Malgun Gothic" w:hAnsi="Calibri" w:cs="Batang"/>
          <w:lang w:val="en-GB" w:eastAsia="ko-KR"/>
        </w:rPr>
        <w:t xml:space="preserve">As discussed briefly in the LS from RAN3, </w:t>
      </w:r>
      <w:r w:rsidR="003B5C11">
        <w:rPr>
          <w:rFonts w:ascii="Calibri" w:eastAsia="Malgun Gothic" w:hAnsi="Calibri" w:cs="Batang"/>
          <w:lang w:val="en-GB" w:eastAsia="ko-KR"/>
        </w:rPr>
        <w:t>Alternative</w:t>
      </w:r>
      <w:r>
        <w:rPr>
          <w:rFonts w:ascii="Calibri" w:eastAsia="Malgun Gothic" w:hAnsi="Calibri" w:cs="Batang"/>
          <w:lang w:val="en-GB" w:eastAsia="ko-KR"/>
        </w:rPr>
        <w:t xml:space="preserve"> 2 is also not free of issues. RAN2 is being asked to respond to</w:t>
      </w:r>
      <w:r w:rsidR="007623FE">
        <w:rPr>
          <w:rFonts w:ascii="Calibri" w:eastAsia="Malgun Gothic" w:hAnsi="Calibri" w:cs="Batang"/>
          <w:lang w:val="en-GB" w:eastAsia="ko-KR"/>
        </w:rPr>
        <w:t xml:space="preserve"> some</w:t>
      </w:r>
      <w:r>
        <w:rPr>
          <w:rFonts w:ascii="Calibri" w:eastAsia="Malgun Gothic" w:hAnsi="Calibri" w:cs="Batang"/>
          <w:lang w:val="en-GB" w:eastAsia="ko-KR"/>
        </w:rPr>
        <w:t xml:space="preserve"> questions</w:t>
      </w:r>
      <w:r w:rsidR="007623FE">
        <w:rPr>
          <w:rFonts w:ascii="Calibri" w:eastAsia="Malgun Gothic" w:hAnsi="Calibri" w:cs="Batang"/>
          <w:lang w:val="en-GB" w:eastAsia="ko-KR"/>
        </w:rPr>
        <w:t xml:space="preserve">, especially those related to cases involving change of PCI/NCGI. We encourage RAN2 to look into these and provide views on what cases can be supported with or without UE impact, and provide details of UE impact, if any. </w:t>
      </w:r>
      <w:r w:rsidR="004A26AD">
        <w:rPr>
          <w:rFonts w:ascii="Calibri" w:eastAsia="Malgun Gothic" w:hAnsi="Calibri" w:cs="Batang"/>
          <w:lang w:val="en-GB" w:eastAsia="ko-KR"/>
        </w:rPr>
        <w:t>Neighboring cells o</w:t>
      </w:r>
      <w:r w:rsidR="007623FE">
        <w:rPr>
          <w:rFonts w:ascii="Calibri" w:eastAsia="Malgun Gothic" w:hAnsi="Calibri" w:cs="Batang"/>
          <w:lang w:val="en-GB" w:eastAsia="ko-KR"/>
        </w:rPr>
        <w:t xml:space="preserve">perating with </w:t>
      </w:r>
      <w:r w:rsidR="004A26AD">
        <w:rPr>
          <w:rFonts w:ascii="Calibri" w:eastAsia="Malgun Gothic" w:hAnsi="Calibri" w:cs="Batang"/>
          <w:lang w:val="en-GB" w:eastAsia="ko-KR"/>
        </w:rPr>
        <w:t xml:space="preserve">overlapping </w:t>
      </w:r>
      <w:r w:rsidR="007623FE">
        <w:rPr>
          <w:rFonts w:ascii="Calibri" w:eastAsia="Malgun Gothic" w:hAnsi="Calibri" w:cs="Batang"/>
          <w:lang w:val="en-GB" w:eastAsia="ko-KR"/>
        </w:rPr>
        <w:t xml:space="preserve">resources is not an entirely new concept. Depending upon the working group, operating with </w:t>
      </w:r>
      <w:r w:rsidR="004A26AD">
        <w:rPr>
          <w:rFonts w:ascii="Calibri" w:eastAsia="Malgun Gothic" w:hAnsi="Calibri" w:cs="Batang"/>
          <w:lang w:val="en-GB" w:eastAsia="ko-KR"/>
        </w:rPr>
        <w:t xml:space="preserve">overlapped </w:t>
      </w:r>
      <w:r w:rsidR="007623FE">
        <w:rPr>
          <w:rFonts w:ascii="Calibri" w:eastAsia="Malgun Gothic" w:hAnsi="Calibri" w:cs="Batang"/>
          <w:lang w:val="en-GB" w:eastAsia="ko-KR"/>
        </w:rPr>
        <w:t xml:space="preserve">resources has been discussed using existing NR features. For example, </w:t>
      </w:r>
      <w:r w:rsidR="009D4EB9">
        <w:rPr>
          <w:rFonts w:ascii="Calibri" w:eastAsia="Malgun Gothic" w:hAnsi="Calibri" w:cs="Batang"/>
          <w:lang w:val="en-GB" w:eastAsia="ko-KR"/>
        </w:rPr>
        <w:t xml:space="preserve">existing solutions already being worked on related to beam management and interference measurement may be used, in addition to considering other potential solutions to minimize/prevent impact to UEs. While </w:t>
      </w:r>
      <w:r w:rsidR="003B5C11">
        <w:rPr>
          <w:rFonts w:ascii="Calibri" w:eastAsia="Malgun Gothic" w:hAnsi="Calibri" w:cs="Batang"/>
          <w:lang w:val="en-GB" w:eastAsia="ko-KR"/>
        </w:rPr>
        <w:t>Alternative</w:t>
      </w:r>
      <w:r w:rsidR="009D4EB9">
        <w:rPr>
          <w:rFonts w:ascii="Calibri" w:eastAsia="Malgun Gothic" w:hAnsi="Calibri" w:cs="Batang"/>
          <w:lang w:val="en-GB" w:eastAsia="ko-KR"/>
        </w:rPr>
        <w:t xml:space="preserve"> 2 may have some issues that </w:t>
      </w:r>
      <w:r w:rsidR="00B52705">
        <w:rPr>
          <w:rFonts w:ascii="Calibri" w:eastAsia="Malgun Gothic" w:hAnsi="Calibri" w:cs="Batang"/>
          <w:lang w:val="en-GB" w:eastAsia="ko-KR"/>
        </w:rPr>
        <w:t xml:space="preserve">require </w:t>
      </w:r>
      <w:r w:rsidR="009D4EB9">
        <w:rPr>
          <w:rFonts w:ascii="Calibri" w:eastAsia="Malgun Gothic" w:hAnsi="Calibri" w:cs="Batang"/>
          <w:lang w:val="en-GB" w:eastAsia="ko-KR"/>
        </w:rPr>
        <w:t>further discussion and resolution, it has the huge benefit of potentially avoiding hard partitioning of resources between cells</w:t>
      </w:r>
      <w:r w:rsidR="00B52705">
        <w:rPr>
          <w:rFonts w:ascii="Calibri" w:eastAsia="Malgun Gothic" w:hAnsi="Calibri" w:cs="Batang"/>
          <w:lang w:val="en-GB" w:eastAsia="ko-KR"/>
        </w:rPr>
        <w:t>.</w:t>
      </w:r>
      <w:r w:rsidR="009D4EB9">
        <w:rPr>
          <w:rFonts w:ascii="Calibri" w:eastAsia="Malgun Gothic" w:hAnsi="Calibri" w:cs="Batang"/>
          <w:lang w:val="en-GB" w:eastAsia="ko-KR"/>
        </w:rPr>
        <w:t xml:space="preserve"> </w:t>
      </w:r>
      <w:r w:rsidR="00B52705">
        <w:rPr>
          <w:rFonts w:ascii="Calibri" w:eastAsia="Malgun Gothic" w:hAnsi="Calibri" w:cs="Batang"/>
          <w:lang w:val="en-GB" w:eastAsia="ko-KR"/>
        </w:rPr>
        <w:t>I</w:t>
      </w:r>
      <w:r w:rsidR="009D4EB9">
        <w:rPr>
          <w:rFonts w:ascii="Calibri" w:eastAsia="Malgun Gothic" w:hAnsi="Calibri" w:cs="Batang"/>
          <w:lang w:val="en-GB" w:eastAsia="ko-KR"/>
        </w:rPr>
        <w:t>n our opinion</w:t>
      </w:r>
      <w:r w:rsidR="00B52705">
        <w:rPr>
          <w:rFonts w:ascii="Calibri" w:eastAsia="Malgun Gothic" w:hAnsi="Calibri" w:cs="Batang"/>
          <w:lang w:val="en-GB" w:eastAsia="ko-KR"/>
        </w:rPr>
        <w:t>,</w:t>
      </w:r>
      <w:r w:rsidR="009D4EB9">
        <w:rPr>
          <w:rFonts w:ascii="Calibri" w:eastAsia="Malgun Gothic" w:hAnsi="Calibri" w:cs="Batang"/>
          <w:lang w:val="en-GB" w:eastAsia="ko-KR"/>
        </w:rPr>
        <w:t xml:space="preserve"> </w:t>
      </w:r>
      <w:r w:rsidR="00B52705">
        <w:rPr>
          <w:rFonts w:ascii="Calibri" w:eastAsia="Malgun Gothic" w:hAnsi="Calibri" w:cs="Batang"/>
          <w:lang w:val="en-GB" w:eastAsia="ko-KR"/>
        </w:rPr>
        <w:t xml:space="preserve">such hard partitioning of physical cell resources </w:t>
      </w:r>
      <w:r w:rsidR="009D4EB9">
        <w:rPr>
          <w:rFonts w:ascii="Calibri" w:eastAsia="Malgun Gothic" w:hAnsi="Calibri" w:cs="Batang"/>
          <w:lang w:val="en-GB" w:eastAsia="ko-KR"/>
        </w:rPr>
        <w:t xml:space="preserve">should be avoided as far as possible. Depending upon solutions used to address any potential issues with </w:t>
      </w:r>
      <w:r w:rsidR="003B5C11">
        <w:rPr>
          <w:rFonts w:ascii="Calibri" w:eastAsia="Malgun Gothic" w:hAnsi="Calibri" w:cs="Batang"/>
          <w:lang w:val="en-GB" w:eastAsia="ko-KR"/>
        </w:rPr>
        <w:t>Alternative</w:t>
      </w:r>
      <w:r w:rsidR="009D4EB9">
        <w:rPr>
          <w:rFonts w:ascii="Calibri" w:eastAsia="Malgun Gothic" w:hAnsi="Calibri" w:cs="Batang"/>
          <w:lang w:val="en-GB" w:eastAsia="ko-KR"/>
        </w:rPr>
        <w:t xml:space="preserve"> 2, if there are any corner cases where </w:t>
      </w:r>
      <w:r w:rsidR="003B5C11">
        <w:rPr>
          <w:rFonts w:ascii="Calibri" w:eastAsia="Malgun Gothic" w:hAnsi="Calibri" w:cs="Batang"/>
          <w:lang w:val="en-GB" w:eastAsia="ko-KR"/>
        </w:rPr>
        <w:t>Alternative</w:t>
      </w:r>
      <w:r w:rsidR="009D4EB9">
        <w:rPr>
          <w:rFonts w:ascii="Calibri" w:eastAsia="Malgun Gothic" w:hAnsi="Calibri" w:cs="Batang"/>
          <w:lang w:val="en-GB" w:eastAsia="ko-KR"/>
        </w:rPr>
        <w:t xml:space="preserve"> 2 is not possible, </w:t>
      </w:r>
      <w:r w:rsidR="003B5C11">
        <w:rPr>
          <w:rFonts w:ascii="Calibri" w:eastAsia="Malgun Gothic" w:hAnsi="Calibri" w:cs="Batang"/>
          <w:lang w:val="en-GB" w:eastAsia="ko-KR"/>
        </w:rPr>
        <w:t>Alternative</w:t>
      </w:r>
      <w:r w:rsidR="009D4EB9">
        <w:rPr>
          <w:rFonts w:ascii="Calibri" w:eastAsia="Malgun Gothic" w:hAnsi="Calibri" w:cs="Batang"/>
          <w:lang w:val="en-GB" w:eastAsia="ko-KR"/>
        </w:rPr>
        <w:t xml:space="preserve"> 1 can always be used as a fallback. Therefore, our strong preference is to look thoroughly into </w:t>
      </w:r>
      <w:r w:rsidR="003B5C11">
        <w:rPr>
          <w:rFonts w:ascii="Calibri" w:eastAsia="Malgun Gothic" w:hAnsi="Calibri" w:cs="Batang"/>
          <w:lang w:val="en-GB" w:eastAsia="ko-KR"/>
        </w:rPr>
        <w:t>Alternative</w:t>
      </w:r>
      <w:r w:rsidR="009D4EB9">
        <w:rPr>
          <w:rFonts w:ascii="Calibri" w:eastAsia="Malgun Gothic" w:hAnsi="Calibri" w:cs="Batang"/>
          <w:lang w:val="en-GB" w:eastAsia="ko-KR"/>
        </w:rPr>
        <w:t xml:space="preserve"> 2.</w:t>
      </w:r>
    </w:p>
    <w:p w14:paraId="4AD22452" w14:textId="0D4E7FD4" w:rsidR="009D4EB9" w:rsidRPr="009D4EB9" w:rsidRDefault="009D4EB9" w:rsidP="004A7002">
      <w:pPr>
        <w:rPr>
          <w:rFonts w:ascii="Calibri" w:eastAsia="Malgun Gothic" w:hAnsi="Calibri" w:cs="Batang"/>
          <w:b/>
          <w:bCs/>
          <w:lang w:val="en-GB" w:eastAsia="ko-KR"/>
        </w:rPr>
      </w:pPr>
      <w:r w:rsidRPr="009D4EB9">
        <w:rPr>
          <w:rFonts w:ascii="Calibri" w:eastAsia="Malgun Gothic" w:hAnsi="Calibri" w:cs="Batang"/>
          <w:b/>
          <w:bCs/>
          <w:lang w:val="en-GB" w:eastAsia="ko-KR"/>
        </w:rPr>
        <w:t xml:space="preserve">Proposal 1: RAN2 should consider </w:t>
      </w:r>
      <w:r w:rsidR="003B5C11">
        <w:rPr>
          <w:rFonts w:ascii="Calibri" w:eastAsia="Malgun Gothic" w:hAnsi="Calibri" w:cs="Batang"/>
          <w:b/>
          <w:bCs/>
          <w:lang w:val="en-GB" w:eastAsia="ko-KR"/>
        </w:rPr>
        <w:t>Alternative</w:t>
      </w:r>
      <w:r w:rsidRPr="009D4EB9">
        <w:rPr>
          <w:rFonts w:ascii="Calibri" w:eastAsia="Malgun Gothic" w:hAnsi="Calibri" w:cs="Batang"/>
          <w:b/>
          <w:bCs/>
          <w:lang w:val="en-GB" w:eastAsia="ko-KR"/>
        </w:rPr>
        <w:t xml:space="preserve"> 2 with shared physical cell resources and identify solutions to any potential issues </w:t>
      </w:r>
      <w:r w:rsidR="00AA27BB">
        <w:rPr>
          <w:rFonts w:ascii="Calibri" w:eastAsia="Malgun Gothic" w:hAnsi="Calibri" w:cs="Batang"/>
          <w:b/>
          <w:bCs/>
          <w:lang w:val="en-GB" w:eastAsia="ko-KR"/>
        </w:rPr>
        <w:t>for</w:t>
      </w:r>
      <w:r w:rsidRPr="009D4EB9">
        <w:rPr>
          <w:rFonts w:ascii="Calibri" w:eastAsia="Malgun Gothic" w:hAnsi="Calibri" w:cs="Batang"/>
          <w:b/>
          <w:bCs/>
          <w:lang w:val="en-GB" w:eastAsia="ko-KR"/>
        </w:rPr>
        <w:t xml:space="preserve"> enabling </w:t>
      </w:r>
      <w:r w:rsidR="003B5C11">
        <w:rPr>
          <w:rFonts w:ascii="Calibri" w:eastAsia="Malgun Gothic" w:hAnsi="Calibri" w:cs="Batang"/>
          <w:b/>
          <w:bCs/>
          <w:lang w:val="en-GB" w:eastAsia="ko-KR"/>
        </w:rPr>
        <w:t>Alternative</w:t>
      </w:r>
      <w:r w:rsidRPr="009D4EB9">
        <w:rPr>
          <w:rFonts w:ascii="Calibri" w:eastAsia="Malgun Gothic" w:hAnsi="Calibri" w:cs="Batang"/>
          <w:b/>
          <w:bCs/>
          <w:lang w:val="en-GB" w:eastAsia="ko-KR"/>
        </w:rPr>
        <w:t xml:space="preserve"> 2.</w:t>
      </w:r>
    </w:p>
    <w:p w14:paraId="1CB886AE" w14:textId="77777777"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Conclusion</w:t>
      </w:r>
    </w:p>
    <w:p w14:paraId="0CFE98AB" w14:textId="3FB99A0C" w:rsidR="00D624C1" w:rsidRPr="00D624C1" w:rsidRDefault="004A7002" w:rsidP="00D624C1">
      <w:pPr>
        <w:pStyle w:val="maintext"/>
        <w:ind w:firstLineChars="0" w:firstLine="0"/>
        <w:rPr>
          <w:rFonts w:ascii="Calibri" w:hAnsi="Calibri"/>
        </w:rPr>
      </w:pPr>
      <w:r>
        <w:rPr>
          <w:rFonts w:ascii="Calibri" w:hAnsi="Calibri"/>
        </w:rPr>
        <w:t xml:space="preserve">This contribution </w:t>
      </w:r>
      <w:r w:rsidR="009D4EB9">
        <w:rPr>
          <w:rFonts w:ascii="Calibri" w:hAnsi="Calibri"/>
        </w:rPr>
        <w:t>discussed alternatives for full inter-donor IAB-node migration and provided the following observation and proposal</w:t>
      </w:r>
      <w:r w:rsidR="00BB02D4">
        <w:rPr>
          <w:rFonts w:ascii="Calibri" w:hAnsi="Calibri"/>
        </w:rPr>
        <w:t>:</w:t>
      </w:r>
      <w:r>
        <w:rPr>
          <w:rFonts w:ascii="Calibri" w:hAnsi="Calibri"/>
        </w:rPr>
        <w:t xml:space="preserve"> </w:t>
      </w:r>
    </w:p>
    <w:p w14:paraId="1C103388" w14:textId="0032A0C4" w:rsidR="009D4EB9" w:rsidRPr="005F060D" w:rsidRDefault="009D4EB9" w:rsidP="009D4EB9">
      <w:pPr>
        <w:rPr>
          <w:rFonts w:ascii="Calibri" w:eastAsia="Malgun Gothic" w:hAnsi="Calibri" w:cs="Batang"/>
          <w:b/>
          <w:bCs/>
          <w:lang w:val="en-GB" w:eastAsia="ko-KR"/>
        </w:rPr>
      </w:pPr>
      <w:r w:rsidRPr="005F060D">
        <w:rPr>
          <w:rFonts w:ascii="Calibri" w:eastAsia="Malgun Gothic" w:hAnsi="Calibri" w:cs="Batang"/>
          <w:b/>
          <w:bCs/>
          <w:lang w:val="en-GB" w:eastAsia="ko-KR"/>
        </w:rPr>
        <w:t xml:space="preserve">Observation 1: Alternative 1 with separate physical cell resources </w:t>
      </w:r>
      <w:r w:rsidR="000F79DA">
        <w:rPr>
          <w:rFonts w:ascii="Calibri" w:eastAsia="Malgun Gothic" w:hAnsi="Calibri" w:cs="Batang"/>
          <w:b/>
          <w:bCs/>
          <w:lang w:val="en-GB" w:eastAsia="ko-KR"/>
        </w:rPr>
        <w:t xml:space="preserve">negatively </w:t>
      </w:r>
      <w:r w:rsidRPr="005F060D">
        <w:rPr>
          <w:rFonts w:ascii="Calibri" w:eastAsia="Malgun Gothic" w:hAnsi="Calibri" w:cs="Batang"/>
          <w:b/>
          <w:bCs/>
          <w:lang w:val="en-GB" w:eastAsia="ko-KR"/>
        </w:rPr>
        <w:t>impacts both capacity and user experience</w:t>
      </w:r>
      <w:r w:rsidR="00047F96">
        <w:rPr>
          <w:rFonts w:ascii="Calibri" w:eastAsia="Malgun Gothic" w:hAnsi="Calibri" w:cs="Batang"/>
          <w:b/>
          <w:bCs/>
          <w:lang w:val="en-GB" w:eastAsia="ko-KR"/>
        </w:rPr>
        <w:t>,</w:t>
      </w:r>
      <w:r w:rsidRPr="005F060D">
        <w:rPr>
          <w:rFonts w:ascii="Calibri" w:eastAsia="Malgun Gothic" w:hAnsi="Calibri" w:cs="Batang"/>
          <w:b/>
          <w:bCs/>
          <w:lang w:val="en-GB" w:eastAsia="ko-KR"/>
        </w:rPr>
        <w:t xml:space="preserve"> making it a poor choice.</w:t>
      </w:r>
    </w:p>
    <w:p w14:paraId="6A957E41" w14:textId="11B1F16C" w:rsidR="009D4EB9" w:rsidRPr="009D4EB9" w:rsidRDefault="009D4EB9" w:rsidP="009D4EB9">
      <w:pPr>
        <w:rPr>
          <w:rFonts w:ascii="Calibri" w:eastAsia="Malgun Gothic" w:hAnsi="Calibri" w:cs="Batang"/>
          <w:b/>
          <w:bCs/>
          <w:lang w:val="en-GB" w:eastAsia="ko-KR"/>
        </w:rPr>
      </w:pPr>
      <w:r w:rsidRPr="009D4EB9">
        <w:rPr>
          <w:rFonts w:ascii="Calibri" w:eastAsia="Malgun Gothic" w:hAnsi="Calibri" w:cs="Batang"/>
          <w:b/>
          <w:bCs/>
          <w:lang w:val="en-GB" w:eastAsia="ko-KR"/>
        </w:rPr>
        <w:t xml:space="preserve">Proposal 1: RAN2 should consider </w:t>
      </w:r>
      <w:r w:rsidR="003B5C11">
        <w:rPr>
          <w:rFonts w:ascii="Calibri" w:eastAsia="Malgun Gothic" w:hAnsi="Calibri" w:cs="Batang"/>
          <w:b/>
          <w:bCs/>
          <w:lang w:val="en-GB" w:eastAsia="ko-KR"/>
        </w:rPr>
        <w:t>Alternative</w:t>
      </w:r>
      <w:r w:rsidRPr="009D4EB9">
        <w:rPr>
          <w:rFonts w:ascii="Calibri" w:eastAsia="Malgun Gothic" w:hAnsi="Calibri" w:cs="Batang"/>
          <w:b/>
          <w:bCs/>
          <w:lang w:val="en-GB" w:eastAsia="ko-KR"/>
        </w:rPr>
        <w:t xml:space="preserve"> 2 with shared physical cell resources and identify solutions to any potential issues </w:t>
      </w:r>
      <w:r w:rsidR="00AA27BB">
        <w:rPr>
          <w:rFonts w:ascii="Calibri" w:eastAsia="Malgun Gothic" w:hAnsi="Calibri" w:cs="Batang"/>
          <w:b/>
          <w:bCs/>
          <w:lang w:val="en-GB" w:eastAsia="ko-KR"/>
        </w:rPr>
        <w:t>for</w:t>
      </w:r>
      <w:r w:rsidRPr="009D4EB9">
        <w:rPr>
          <w:rFonts w:ascii="Calibri" w:eastAsia="Malgun Gothic" w:hAnsi="Calibri" w:cs="Batang"/>
          <w:b/>
          <w:bCs/>
          <w:lang w:val="en-GB" w:eastAsia="ko-KR"/>
        </w:rPr>
        <w:t xml:space="preserve"> enabling </w:t>
      </w:r>
      <w:r w:rsidR="003B5C11">
        <w:rPr>
          <w:rFonts w:ascii="Calibri" w:eastAsia="Malgun Gothic" w:hAnsi="Calibri" w:cs="Batang"/>
          <w:b/>
          <w:bCs/>
          <w:lang w:val="en-GB" w:eastAsia="ko-KR"/>
        </w:rPr>
        <w:t>Alternative</w:t>
      </w:r>
      <w:r w:rsidRPr="009D4EB9">
        <w:rPr>
          <w:rFonts w:ascii="Calibri" w:eastAsia="Malgun Gothic" w:hAnsi="Calibri" w:cs="Batang"/>
          <w:b/>
          <w:bCs/>
          <w:lang w:val="en-GB" w:eastAsia="ko-KR"/>
        </w:rPr>
        <w:t xml:space="preserve"> 2.</w:t>
      </w:r>
    </w:p>
    <w:p w14:paraId="3CFA9471" w14:textId="256634A9" w:rsidR="004A7002" w:rsidRPr="006B13A0"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Reference</w:t>
      </w:r>
      <w:r w:rsidR="00D624C1">
        <w:t>s</w:t>
      </w:r>
    </w:p>
    <w:p w14:paraId="741D7C07" w14:textId="6EE1A035" w:rsidR="004A7002" w:rsidRDefault="004131D6" w:rsidP="004131D6">
      <w:pPr>
        <w:pStyle w:val="2222"/>
        <w:spacing w:after="120" w:line="288" w:lineRule="auto"/>
        <w:ind w:firstLineChars="0" w:firstLine="0"/>
        <w:jc w:val="left"/>
        <w:rPr>
          <w:rFonts w:cs="Times New Roman"/>
          <w:lang w:eastAsia="ko-KR"/>
        </w:rPr>
      </w:pPr>
      <w:r>
        <w:rPr>
          <w:rFonts w:cs="Times New Roman"/>
          <w:lang w:eastAsia="ko-KR"/>
        </w:rPr>
        <w:t xml:space="preserve">[1] </w:t>
      </w:r>
      <w:r w:rsidR="00A45190" w:rsidRPr="00A45190">
        <w:rPr>
          <w:rFonts w:cs="Times New Roman"/>
          <w:lang w:eastAsia="ko-KR"/>
        </w:rPr>
        <w:t>R2-2106950</w:t>
      </w:r>
      <w:r w:rsidR="00A45190">
        <w:rPr>
          <w:rFonts w:cs="Times New Roman"/>
          <w:lang w:eastAsia="ko-KR"/>
        </w:rPr>
        <w:t xml:space="preserve">, </w:t>
      </w:r>
      <w:r w:rsidR="00A45190" w:rsidRPr="00A45190">
        <w:rPr>
          <w:rFonts w:cs="Times New Roman"/>
          <w:lang w:eastAsia="ko-KR"/>
        </w:rPr>
        <w:t xml:space="preserve">LS on Inter-donor migration (R3-212981; contact: Samsung) </w:t>
      </w:r>
    </w:p>
    <w:sectPr w:rsidR="004A700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93A6D" w14:textId="77777777" w:rsidR="00065D79" w:rsidRDefault="00065D79" w:rsidP="00424124">
      <w:pPr>
        <w:spacing w:before="0" w:after="0"/>
      </w:pPr>
      <w:r>
        <w:separator/>
      </w:r>
    </w:p>
  </w:endnote>
  <w:endnote w:type="continuationSeparator" w:id="0">
    <w:p w14:paraId="329609EA" w14:textId="77777777" w:rsidR="00065D79" w:rsidRDefault="00065D79"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4F342" w14:textId="77777777" w:rsidR="00065D79" w:rsidRDefault="00065D79" w:rsidP="00424124">
      <w:pPr>
        <w:spacing w:before="0" w:after="0"/>
      </w:pPr>
      <w:r>
        <w:separator/>
      </w:r>
    </w:p>
  </w:footnote>
  <w:footnote w:type="continuationSeparator" w:id="0">
    <w:p w14:paraId="2D3F2CCF" w14:textId="77777777" w:rsidR="00065D79" w:rsidRDefault="00065D79"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15"/>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6"/>
  </w:num>
  <w:num w:numId="8">
    <w:abstractNumId w:val="13"/>
  </w:num>
  <w:num w:numId="9">
    <w:abstractNumId w:val="2"/>
  </w:num>
  <w:num w:numId="10">
    <w:abstractNumId w:val="3"/>
  </w:num>
  <w:num w:numId="11">
    <w:abstractNumId w:val="16"/>
  </w:num>
  <w:num w:numId="12">
    <w:abstractNumId w:val="9"/>
  </w:num>
  <w:num w:numId="13">
    <w:abstractNumId w:val="10"/>
  </w:num>
  <w:num w:numId="14">
    <w:abstractNumId w:val="21"/>
  </w:num>
  <w:num w:numId="15">
    <w:abstractNumId w:val="1"/>
  </w:num>
  <w:num w:numId="16">
    <w:abstractNumId w:val="19"/>
  </w:num>
  <w:num w:numId="17">
    <w:abstractNumId w:val="14"/>
  </w:num>
  <w:num w:numId="18">
    <w:abstractNumId w:val="11"/>
  </w:num>
  <w:num w:numId="19">
    <w:abstractNumId w:val="5"/>
  </w:num>
  <w:num w:numId="20">
    <w:abstractNumId w:val="20"/>
  </w:num>
  <w:num w:numId="21">
    <w:abstractNumId w:val="8"/>
  </w:num>
  <w:num w:numId="2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49CA"/>
    <w:rsid w:val="000052FF"/>
    <w:rsid w:val="00005D82"/>
    <w:rsid w:val="00010672"/>
    <w:rsid w:val="0001485D"/>
    <w:rsid w:val="000149EC"/>
    <w:rsid w:val="00020F1A"/>
    <w:rsid w:val="00032D47"/>
    <w:rsid w:val="000337FC"/>
    <w:rsid w:val="00042177"/>
    <w:rsid w:val="000440EF"/>
    <w:rsid w:val="00044947"/>
    <w:rsid w:val="000463E4"/>
    <w:rsid w:val="00047F96"/>
    <w:rsid w:val="00051B4B"/>
    <w:rsid w:val="00051EBB"/>
    <w:rsid w:val="0005289E"/>
    <w:rsid w:val="00052A16"/>
    <w:rsid w:val="000550BC"/>
    <w:rsid w:val="00057E9B"/>
    <w:rsid w:val="000643FA"/>
    <w:rsid w:val="00065D79"/>
    <w:rsid w:val="00070728"/>
    <w:rsid w:val="000730C9"/>
    <w:rsid w:val="0007575F"/>
    <w:rsid w:val="00075B2C"/>
    <w:rsid w:val="00075FD1"/>
    <w:rsid w:val="00077712"/>
    <w:rsid w:val="00082D3A"/>
    <w:rsid w:val="00085800"/>
    <w:rsid w:val="000865E3"/>
    <w:rsid w:val="00087FC5"/>
    <w:rsid w:val="000917C5"/>
    <w:rsid w:val="00092E30"/>
    <w:rsid w:val="00097DC6"/>
    <w:rsid w:val="000A36A9"/>
    <w:rsid w:val="000B0720"/>
    <w:rsid w:val="000B0821"/>
    <w:rsid w:val="000B1B73"/>
    <w:rsid w:val="000B58AF"/>
    <w:rsid w:val="000B6D99"/>
    <w:rsid w:val="000C05C0"/>
    <w:rsid w:val="000C21D0"/>
    <w:rsid w:val="000C57B9"/>
    <w:rsid w:val="000D38DC"/>
    <w:rsid w:val="000E2283"/>
    <w:rsid w:val="000E29D8"/>
    <w:rsid w:val="000F259D"/>
    <w:rsid w:val="000F6CCA"/>
    <w:rsid w:val="000F79DA"/>
    <w:rsid w:val="0010303E"/>
    <w:rsid w:val="0011327D"/>
    <w:rsid w:val="0011588C"/>
    <w:rsid w:val="00116DA6"/>
    <w:rsid w:val="00124658"/>
    <w:rsid w:val="001279BC"/>
    <w:rsid w:val="00131029"/>
    <w:rsid w:val="001331AC"/>
    <w:rsid w:val="00137E15"/>
    <w:rsid w:val="001417A8"/>
    <w:rsid w:val="00145C4F"/>
    <w:rsid w:val="00153793"/>
    <w:rsid w:val="00164A98"/>
    <w:rsid w:val="00172743"/>
    <w:rsid w:val="00175301"/>
    <w:rsid w:val="00182657"/>
    <w:rsid w:val="001A2D03"/>
    <w:rsid w:val="001A5A68"/>
    <w:rsid w:val="001A6212"/>
    <w:rsid w:val="001A75E0"/>
    <w:rsid w:val="001B7305"/>
    <w:rsid w:val="001B731B"/>
    <w:rsid w:val="001C4ACE"/>
    <w:rsid w:val="001C699C"/>
    <w:rsid w:val="001E02F3"/>
    <w:rsid w:val="001E0CE1"/>
    <w:rsid w:val="001E58CC"/>
    <w:rsid w:val="001F02DD"/>
    <w:rsid w:val="001F2A01"/>
    <w:rsid w:val="001F59ED"/>
    <w:rsid w:val="002013B3"/>
    <w:rsid w:val="00201870"/>
    <w:rsid w:val="00211D37"/>
    <w:rsid w:val="00212204"/>
    <w:rsid w:val="0021262A"/>
    <w:rsid w:val="00216763"/>
    <w:rsid w:val="00222269"/>
    <w:rsid w:val="00222811"/>
    <w:rsid w:val="00222D3A"/>
    <w:rsid w:val="00225464"/>
    <w:rsid w:val="00233D70"/>
    <w:rsid w:val="00234AF1"/>
    <w:rsid w:val="00235373"/>
    <w:rsid w:val="00240145"/>
    <w:rsid w:val="00240506"/>
    <w:rsid w:val="00242080"/>
    <w:rsid w:val="00246D61"/>
    <w:rsid w:val="0024786A"/>
    <w:rsid w:val="0025058B"/>
    <w:rsid w:val="00262116"/>
    <w:rsid w:val="002641FE"/>
    <w:rsid w:val="00265254"/>
    <w:rsid w:val="00267362"/>
    <w:rsid w:val="002725E8"/>
    <w:rsid w:val="00272EC2"/>
    <w:rsid w:val="00273B2A"/>
    <w:rsid w:val="00274677"/>
    <w:rsid w:val="00276785"/>
    <w:rsid w:val="00277973"/>
    <w:rsid w:val="00287D4D"/>
    <w:rsid w:val="0029112F"/>
    <w:rsid w:val="0029147A"/>
    <w:rsid w:val="00292BB6"/>
    <w:rsid w:val="002932DC"/>
    <w:rsid w:val="00297225"/>
    <w:rsid w:val="002A005E"/>
    <w:rsid w:val="002A0270"/>
    <w:rsid w:val="002A66E2"/>
    <w:rsid w:val="002B2664"/>
    <w:rsid w:val="002B6E52"/>
    <w:rsid w:val="002C0488"/>
    <w:rsid w:val="002C4097"/>
    <w:rsid w:val="002C594E"/>
    <w:rsid w:val="002D3D42"/>
    <w:rsid w:val="002D479B"/>
    <w:rsid w:val="002D6EC9"/>
    <w:rsid w:val="002D787B"/>
    <w:rsid w:val="002E188B"/>
    <w:rsid w:val="002E65B5"/>
    <w:rsid w:val="002F05F3"/>
    <w:rsid w:val="002F2F26"/>
    <w:rsid w:val="002F4C25"/>
    <w:rsid w:val="003141F5"/>
    <w:rsid w:val="00315DC4"/>
    <w:rsid w:val="00317020"/>
    <w:rsid w:val="00320B4D"/>
    <w:rsid w:val="00326FF6"/>
    <w:rsid w:val="00327A22"/>
    <w:rsid w:val="00332BB8"/>
    <w:rsid w:val="0033513A"/>
    <w:rsid w:val="00342130"/>
    <w:rsid w:val="00346605"/>
    <w:rsid w:val="00347824"/>
    <w:rsid w:val="00351A03"/>
    <w:rsid w:val="0035318F"/>
    <w:rsid w:val="00354C01"/>
    <w:rsid w:val="00361373"/>
    <w:rsid w:val="0036306A"/>
    <w:rsid w:val="00365A78"/>
    <w:rsid w:val="003727DB"/>
    <w:rsid w:val="003822CC"/>
    <w:rsid w:val="00385177"/>
    <w:rsid w:val="00385F27"/>
    <w:rsid w:val="00386642"/>
    <w:rsid w:val="00386CF0"/>
    <w:rsid w:val="00392176"/>
    <w:rsid w:val="003921D6"/>
    <w:rsid w:val="00396F9F"/>
    <w:rsid w:val="003A0594"/>
    <w:rsid w:val="003A298A"/>
    <w:rsid w:val="003A553B"/>
    <w:rsid w:val="003A566A"/>
    <w:rsid w:val="003B1EC9"/>
    <w:rsid w:val="003B5456"/>
    <w:rsid w:val="003B5C11"/>
    <w:rsid w:val="003C1E72"/>
    <w:rsid w:val="003C2392"/>
    <w:rsid w:val="003C2E75"/>
    <w:rsid w:val="003D3C86"/>
    <w:rsid w:val="003E1304"/>
    <w:rsid w:val="003E35D4"/>
    <w:rsid w:val="003E7121"/>
    <w:rsid w:val="003F0731"/>
    <w:rsid w:val="003F33B4"/>
    <w:rsid w:val="004011AC"/>
    <w:rsid w:val="00405F6D"/>
    <w:rsid w:val="00411BB1"/>
    <w:rsid w:val="004131D6"/>
    <w:rsid w:val="00417F07"/>
    <w:rsid w:val="00424124"/>
    <w:rsid w:val="00425CBF"/>
    <w:rsid w:val="00434212"/>
    <w:rsid w:val="00440F6E"/>
    <w:rsid w:val="00443645"/>
    <w:rsid w:val="00443CD6"/>
    <w:rsid w:val="004552C9"/>
    <w:rsid w:val="0045674C"/>
    <w:rsid w:val="004607AC"/>
    <w:rsid w:val="0046127E"/>
    <w:rsid w:val="00466E46"/>
    <w:rsid w:val="004678E1"/>
    <w:rsid w:val="004709B7"/>
    <w:rsid w:val="00473281"/>
    <w:rsid w:val="00473B68"/>
    <w:rsid w:val="00481A47"/>
    <w:rsid w:val="0048301B"/>
    <w:rsid w:val="00494D73"/>
    <w:rsid w:val="004A26AD"/>
    <w:rsid w:val="004A5ABE"/>
    <w:rsid w:val="004A6424"/>
    <w:rsid w:val="004A69D0"/>
    <w:rsid w:val="004A6A82"/>
    <w:rsid w:val="004A7002"/>
    <w:rsid w:val="004B6AA8"/>
    <w:rsid w:val="004B6E00"/>
    <w:rsid w:val="004C130E"/>
    <w:rsid w:val="004C186B"/>
    <w:rsid w:val="004C38DD"/>
    <w:rsid w:val="004C3F2E"/>
    <w:rsid w:val="004C4856"/>
    <w:rsid w:val="004C6DC3"/>
    <w:rsid w:val="004C6ED8"/>
    <w:rsid w:val="004C7784"/>
    <w:rsid w:val="004D453B"/>
    <w:rsid w:val="004D780D"/>
    <w:rsid w:val="004D7CF8"/>
    <w:rsid w:val="004E16A5"/>
    <w:rsid w:val="004E6BC0"/>
    <w:rsid w:val="004E6D3B"/>
    <w:rsid w:val="005007E9"/>
    <w:rsid w:val="00504C05"/>
    <w:rsid w:val="00504E5F"/>
    <w:rsid w:val="005055A6"/>
    <w:rsid w:val="00507060"/>
    <w:rsid w:val="0051179B"/>
    <w:rsid w:val="00512838"/>
    <w:rsid w:val="005131F9"/>
    <w:rsid w:val="0051424F"/>
    <w:rsid w:val="00523623"/>
    <w:rsid w:val="005300F0"/>
    <w:rsid w:val="005363F5"/>
    <w:rsid w:val="00541819"/>
    <w:rsid w:val="0054560C"/>
    <w:rsid w:val="00545FD3"/>
    <w:rsid w:val="0055464C"/>
    <w:rsid w:val="005615C0"/>
    <w:rsid w:val="00561A8A"/>
    <w:rsid w:val="0056238B"/>
    <w:rsid w:val="00563B2C"/>
    <w:rsid w:val="00565BDB"/>
    <w:rsid w:val="005666A4"/>
    <w:rsid w:val="0057145F"/>
    <w:rsid w:val="00575859"/>
    <w:rsid w:val="005758E7"/>
    <w:rsid w:val="005778C8"/>
    <w:rsid w:val="0058120D"/>
    <w:rsid w:val="00591190"/>
    <w:rsid w:val="005A18B4"/>
    <w:rsid w:val="005A60B4"/>
    <w:rsid w:val="005B47BD"/>
    <w:rsid w:val="005B69C2"/>
    <w:rsid w:val="005B6FA6"/>
    <w:rsid w:val="005D2C51"/>
    <w:rsid w:val="005F060D"/>
    <w:rsid w:val="005F21BF"/>
    <w:rsid w:val="005F613D"/>
    <w:rsid w:val="005F705D"/>
    <w:rsid w:val="00600F57"/>
    <w:rsid w:val="00603015"/>
    <w:rsid w:val="0060603E"/>
    <w:rsid w:val="006312AA"/>
    <w:rsid w:val="00632789"/>
    <w:rsid w:val="00633934"/>
    <w:rsid w:val="00634707"/>
    <w:rsid w:val="00636F9E"/>
    <w:rsid w:val="006439F2"/>
    <w:rsid w:val="00644034"/>
    <w:rsid w:val="006477B7"/>
    <w:rsid w:val="00652AC8"/>
    <w:rsid w:val="0065437E"/>
    <w:rsid w:val="00654510"/>
    <w:rsid w:val="00654588"/>
    <w:rsid w:val="0066157D"/>
    <w:rsid w:val="00665936"/>
    <w:rsid w:val="006703A8"/>
    <w:rsid w:val="0067125A"/>
    <w:rsid w:val="00671E30"/>
    <w:rsid w:val="006756FB"/>
    <w:rsid w:val="00677BD0"/>
    <w:rsid w:val="00685B82"/>
    <w:rsid w:val="00685E11"/>
    <w:rsid w:val="0069705B"/>
    <w:rsid w:val="006A04B2"/>
    <w:rsid w:val="006A0EDC"/>
    <w:rsid w:val="006A18DB"/>
    <w:rsid w:val="006A2D2E"/>
    <w:rsid w:val="006B67B9"/>
    <w:rsid w:val="006B7B96"/>
    <w:rsid w:val="006C0BAC"/>
    <w:rsid w:val="006C20F7"/>
    <w:rsid w:val="006C452E"/>
    <w:rsid w:val="006C7692"/>
    <w:rsid w:val="006D2F17"/>
    <w:rsid w:val="006D6ABC"/>
    <w:rsid w:val="006E790B"/>
    <w:rsid w:val="006F055C"/>
    <w:rsid w:val="006F52D9"/>
    <w:rsid w:val="00702C40"/>
    <w:rsid w:val="00707438"/>
    <w:rsid w:val="00707D20"/>
    <w:rsid w:val="00710F58"/>
    <w:rsid w:val="00713175"/>
    <w:rsid w:val="00713382"/>
    <w:rsid w:val="00714B77"/>
    <w:rsid w:val="00714CA5"/>
    <w:rsid w:val="00721AD7"/>
    <w:rsid w:val="007225EF"/>
    <w:rsid w:val="00722BA6"/>
    <w:rsid w:val="00723DC5"/>
    <w:rsid w:val="00726B84"/>
    <w:rsid w:val="00727595"/>
    <w:rsid w:val="00727952"/>
    <w:rsid w:val="007316AF"/>
    <w:rsid w:val="007338D6"/>
    <w:rsid w:val="007404F9"/>
    <w:rsid w:val="00740B36"/>
    <w:rsid w:val="00745452"/>
    <w:rsid w:val="00747A6F"/>
    <w:rsid w:val="0075622F"/>
    <w:rsid w:val="0076067D"/>
    <w:rsid w:val="007623FE"/>
    <w:rsid w:val="00782CDC"/>
    <w:rsid w:val="007839F9"/>
    <w:rsid w:val="00784132"/>
    <w:rsid w:val="00786229"/>
    <w:rsid w:val="0078708D"/>
    <w:rsid w:val="00787145"/>
    <w:rsid w:val="00791D57"/>
    <w:rsid w:val="007A2765"/>
    <w:rsid w:val="007A3734"/>
    <w:rsid w:val="007B13E5"/>
    <w:rsid w:val="007B2F6B"/>
    <w:rsid w:val="007B473A"/>
    <w:rsid w:val="007C4B85"/>
    <w:rsid w:val="007D0BB2"/>
    <w:rsid w:val="007D2C48"/>
    <w:rsid w:val="007E4202"/>
    <w:rsid w:val="007E52F3"/>
    <w:rsid w:val="007E546F"/>
    <w:rsid w:val="007F0AF3"/>
    <w:rsid w:val="007F1928"/>
    <w:rsid w:val="007F392E"/>
    <w:rsid w:val="00800F70"/>
    <w:rsid w:val="008024DD"/>
    <w:rsid w:val="00811A1B"/>
    <w:rsid w:val="00814815"/>
    <w:rsid w:val="00824DED"/>
    <w:rsid w:val="00826E5A"/>
    <w:rsid w:val="0083713D"/>
    <w:rsid w:val="008437B2"/>
    <w:rsid w:val="00843F1C"/>
    <w:rsid w:val="00850DCE"/>
    <w:rsid w:val="00853591"/>
    <w:rsid w:val="00854FBB"/>
    <w:rsid w:val="0086373E"/>
    <w:rsid w:val="008661BA"/>
    <w:rsid w:val="008671A6"/>
    <w:rsid w:val="00871024"/>
    <w:rsid w:val="0087144B"/>
    <w:rsid w:val="00871CA8"/>
    <w:rsid w:val="00872D80"/>
    <w:rsid w:val="00872E80"/>
    <w:rsid w:val="008747AA"/>
    <w:rsid w:val="00885004"/>
    <w:rsid w:val="00886940"/>
    <w:rsid w:val="00886B7B"/>
    <w:rsid w:val="00887AB4"/>
    <w:rsid w:val="00894290"/>
    <w:rsid w:val="00896770"/>
    <w:rsid w:val="00896EDD"/>
    <w:rsid w:val="008A25A1"/>
    <w:rsid w:val="008A6FC8"/>
    <w:rsid w:val="008B39B6"/>
    <w:rsid w:val="008C1AFD"/>
    <w:rsid w:val="008C4B67"/>
    <w:rsid w:val="008D1AEF"/>
    <w:rsid w:val="008E48C2"/>
    <w:rsid w:val="008F0D8C"/>
    <w:rsid w:val="008F1BD1"/>
    <w:rsid w:val="008F2160"/>
    <w:rsid w:val="00901B67"/>
    <w:rsid w:val="00905E86"/>
    <w:rsid w:val="009124E4"/>
    <w:rsid w:val="00917D0F"/>
    <w:rsid w:val="00924EA9"/>
    <w:rsid w:val="00925FA2"/>
    <w:rsid w:val="00926A9C"/>
    <w:rsid w:val="00927803"/>
    <w:rsid w:val="00933AFB"/>
    <w:rsid w:val="00940101"/>
    <w:rsid w:val="00940DAB"/>
    <w:rsid w:val="009453B3"/>
    <w:rsid w:val="009550DA"/>
    <w:rsid w:val="00957CD1"/>
    <w:rsid w:val="00961DB2"/>
    <w:rsid w:val="0097292F"/>
    <w:rsid w:val="009741D9"/>
    <w:rsid w:val="009750CC"/>
    <w:rsid w:val="00980746"/>
    <w:rsid w:val="00982CA4"/>
    <w:rsid w:val="00984235"/>
    <w:rsid w:val="00992432"/>
    <w:rsid w:val="00993D92"/>
    <w:rsid w:val="00993E67"/>
    <w:rsid w:val="00997E4E"/>
    <w:rsid w:val="009A12D3"/>
    <w:rsid w:val="009A4D63"/>
    <w:rsid w:val="009A54FC"/>
    <w:rsid w:val="009B08C5"/>
    <w:rsid w:val="009B52C0"/>
    <w:rsid w:val="009B75E8"/>
    <w:rsid w:val="009C2167"/>
    <w:rsid w:val="009D46C1"/>
    <w:rsid w:val="009D4EB9"/>
    <w:rsid w:val="009E0D02"/>
    <w:rsid w:val="009E4418"/>
    <w:rsid w:val="009E5838"/>
    <w:rsid w:val="009F4EF4"/>
    <w:rsid w:val="009F667C"/>
    <w:rsid w:val="00A0235E"/>
    <w:rsid w:val="00A04526"/>
    <w:rsid w:val="00A074B7"/>
    <w:rsid w:val="00A11704"/>
    <w:rsid w:val="00A11840"/>
    <w:rsid w:val="00A14282"/>
    <w:rsid w:val="00A21D13"/>
    <w:rsid w:val="00A22671"/>
    <w:rsid w:val="00A22C61"/>
    <w:rsid w:val="00A262E4"/>
    <w:rsid w:val="00A26EC3"/>
    <w:rsid w:val="00A300E0"/>
    <w:rsid w:val="00A34F57"/>
    <w:rsid w:val="00A359C7"/>
    <w:rsid w:val="00A41CF3"/>
    <w:rsid w:val="00A45190"/>
    <w:rsid w:val="00A456B1"/>
    <w:rsid w:val="00A4674D"/>
    <w:rsid w:val="00A547CE"/>
    <w:rsid w:val="00A55FF3"/>
    <w:rsid w:val="00A603CE"/>
    <w:rsid w:val="00A605F1"/>
    <w:rsid w:val="00A62B28"/>
    <w:rsid w:val="00A64CF7"/>
    <w:rsid w:val="00A72B33"/>
    <w:rsid w:val="00A821EA"/>
    <w:rsid w:val="00A8721E"/>
    <w:rsid w:val="00A9046E"/>
    <w:rsid w:val="00A92495"/>
    <w:rsid w:val="00A93B35"/>
    <w:rsid w:val="00AA27BB"/>
    <w:rsid w:val="00AA3BE3"/>
    <w:rsid w:val="00AA5160"/>
    <w:rsid w:val="00AA5899"/>
    <w:rsid w:val="00AA63E0"/>
    <w:rsid w:val="00AB0589"/>
    <w:rsid w:val="00AB723F"/>
    <w:rsid w:val="00AB75A3"/>
    <w:rsid w:val="00AB7FC6"/>
    <w:rsid w:val="00AC05AE"/>
    <w:rsid w:val="00AD115D"/>
    <w:rsid w:val="00AD16AE"/>
    <w:rsid w:val="00AD6C53"/>
    <w:rsid w:val="00AD7BCD"/>
    <w:rsid w:val="00AE72F4"/>
    <w:rsid w:val="00AF0A4B"/>
    <w:rsid w:val="00AF2F00"/>
    <w:rsid w:val="00AF4BBC"/>
    <w:rsid w:val="00AF5875"/>
    <w:rsid w:val="00AF65DE"/>
    <w:rsid w:val="00B029FE"/>
    <w:rsid w:val="00B04278"/>
    <w:rsid w:val="00B12672"/>
    <w:rsid w:val="00B14946"/>
    <w:rsid w:val="00B2434D"/>
    <w:rsid w:val="00B24D29"/>
    <w:rsid w:val="00B32216"/>
    <w:rsid w:val="00B34716"/>
    <w:rsid w:val="00B3707E"/>
    <w:rsid w:val="00B40DE1"/>
    <w:rsid w:val="00B52705"/>
    <w:rsid w:val="00B55FA2"/>
    <w:rsid w:val="00B61A13"/>
    <w:rsid w:val="00B6232D"/>
    <w:rsid w:val="00B63DB8"/>
    <w:rsid w:val="00B648CA"/>
    <w:rsid w:val="00B6614F"/>
    <w:rsid w:val="00B74894"/>
    <w:rsid w:val="00B748DC"/>
    <w:rsid w:val="00B749FB"/>
    <w:rsid w:val="00B75FF7"/>
    <w:rsid w:val="00B82B83"/>
    <w:rsid w:val="00B831C8"/>
    <w:rsid w:val="00B909F7"/>
    <w:rsid w:val="00B94DF8"/>
    <w:rsid w:val="00B96A24"/>
    <w:rsid w:val="00BA677D"/>
    <w:rsid w:val="00BA6FDB"/>
    <w:rsid w:val="00BB02D4"/>
    <w:rsid w:val="00BB02ED"/>
    <w:rsid w:val="00BB3CBF"/>
    <w:rsid w:val="00BB5132"/>
    <w:rsid w:val="00BB6E66"/>
    <w:rsid w:val="00BC31F9"/>
    <w:rsid w:val="00BC6F83"/>
    <w:rsid w:val="00BC704C"/>
    <w:rsid w:val="00BD15E1"/>
    <w:rsid w:val="00BD2886"/>
    <w:rsid w:val="00BD34B4"/>
    <w:rsid w:val="00BD43CB"/>
    <w:rsid w:val="00BD4C5B"/>
    <w:rsid w:val="00BE26B4"/>
    <w:rsid w:val="00BE3F7A"/>
    <w:rsid w:val="00BF2C5D"/>
    <w:rsid w:val="00BF31E3"/>
    <w:rsid w:val="00BF5F1C"/>
    <w:rsid w:val="00C07731"/>
    <w:rsid w:val="00C17E83"/>
    <w:rsid w:val="00C218A9"/>
    <w:rsid w:val="00C261F4"/>
    <w:rsid w:val="00C408C7"/>
    <w:rsid w:val="00C40BE6"/>
    <w:rsid w:val="00C47EE0"/>
    <w:rsid w:val="00C534CA"/>
    <w:rsid w:val="00C63006"/>
    <w:rsid w:val="00C67568"/>
    <w:rsid w:val="00C7007B"/>
    <w:rsid w:val="00C70596"/>
    <w:rsid w:val="00C71871"/>
    <w:rsid w:val="00C724F1"/>
    <w:rsid w:val="00C735F1"/>
    <w:rsid w:val="00C913B6"/>
    <w:rsid w:val="00C91C5E"/>
    <w:rsid w:val="00C92E44"/>
    <w:rsid w:val="00CA6EA3"/>
    <w:rsid w:val="00CB15A7"/>
    <w:rsid w:val="00CB2DE0"/>
    <w:rsid w:val="00CB6D97"/>
    <w:rsid w:val="00CC09CE"/>
    <w:rsid w:val="00CD7B54"/>
    <w:rsid w:val="00CE0C9D"/>
    <w:rsid w:val="00CE1FF5"/>
    <w:rsid w:val="00D10682"/>
    <w:rsid w:val="00D134C5"/>
    <w:rsid w:val="00D23CDC"/>
    <w:rsid w:val="00D26593"/>
    <w:rsid w:val="00D268EB"/>
    <w:rsid w:val="00D26CFF"/>
    <w:rsid w:val="00D274C6"/>
    <w:rsid w:val="00D27AF6"/>
    <w:rsid w:val="00D34984"/>
    <w:rsid w:val="00D353B5"/>
    <w:rsid w:val="00D37270"/>
    <w:rsid w:val="00D446F1"/>
    <w:rsid w:val="00D456D8"/>
    <w:rsid w:val="00D45A0E"/>
    <w:rsid w:val="00D4645D"/>
    <w:rsid w:val="00D4758C"/>
    <w:rsid w:val="00D50169"/>
    <w:rsid w:val="00D5391C"/>
    <w:rsid w:val="00D55FAB"/>
    <w:rsid w:val="00D56786"/>
    <w:rsid w:val="00D61EAB"/>
    <w:rsid w:val="00D624C1"/>
    <w:rsid w:val="00D701D3"/>
    <w:rsid w:val="00D724F9"/>
    <w:rsid w:val="00D7445F"/>
    <w:rsid w:val="00D91E8D"/>
    <w:rsid w:val="00D92B1D"/>
    <w:rsid w:val="00D93FEB"/>
    <w:rsid w:val="00DA5EAC"/>
    <w:rsid w:val="00DB0323"/>
    <w:rsid w:val="00DB1FA7"/>
    <w:rsid w:val="00DB3BFC"/>
    <w:rsid w:val="00DB5143"/>
    <w:rsid w:val="00DC0E31"/>
    <w:rsid w:val="00DC70D0"/>
    <w:rsid w:val="00DC7782"/>
    <w:rsid w:val="00DC7DD6"/>
    <w:rsid w:val="00DD3971"/>
    <w:rsid w:val="00DE2A3F"/>
    <w:rsid w:val="00DF5F45"/>
    <w:rsid w:val="00E03E65"/>
    <w:rsid w:val="00E06B55"/>
    <w:rsid w:val="00E13146"/>
    <w:rsid w:val="00E174FC"/>
    <w:rsid w:val="00E20070"/>
    <w:rsid w:val="00E20994"/>
    <w:rsid w:val="00E22124"/>
    <w:rsid w:val="00E261AD"/>
    <w:rsid w:val="00E324C0"/>
    <w:rsid w:val="00E40344"/>
    <w:rsid w:val="00E4377A"/>
    <w:rsid w:val="00E46D61"/>
    <w:rsid w:val="00E47A4D"/>
    <w:rsid w:val="00E545F2"/>
    <w:rsid w:val="00E56C7E"/>
    <w:rsid w:val="00E576BD"/>
    <w:rsid w:val="00E57BE9"/>
    <w:rsid w:val="00E604D6"/>
    <w:rsid w:val="00E67086"/>
    <w:rsid w:val="00E8001A"/>
    <w:rsid w:val="00E857E4"/>
    <w:rsid w:val="00E85B05"/>
    <w:rsid w:val="00E9139D"/>
    <w:rsid w:val="00E92487"/>
    <w:rsid w:val="00EA26E5"/>
    <w:rsid w:val="00EA3B02"/>
    <w:rsid w:val="00EA5A59"/>
    <w:rsid w:val="00EA6213"/>
    <w:rsid w:val="00EB0C39"/>
    <w:rsid w:val="00EB3301"/>
    <w:rsid w:val="00EB588F"/>
    <w:rsid w:val="00EE2068"/>
    <w:rsid w:val="00EE4A18"/>
    <w:rsid w:val="00EF1F69"/>
    <w:rsid w:val="00EF61D1"/>
    <w:rsid w:val="00F012DD"/>
    <w:rsid w:val="00F01C1A"/>
    <w:rsid w:val="00F05333"/>
    <w:rsid w:val="00F07624"/>
    <w:rsid w:val="00F1311C"/>
    <w:rsid w:val="00F154D0"/>
    <w:rsid w:val="00F2257A"/>
    <w:rsid w:val="00F246F5"/>
    <w:rsid w:val="00F261D6"/>
    <w:rsid w:val="00F26D45"/>
    <w:rsid w:val="00F30C84"/>
    <w:rsid w:val="00F35704"/>
    <w:rsid w:val="00F35911"/>
    <w:rsid w:val="00F35DD7"/>
    <w:rsid w:val="00F42D43"/>
    <w:rsid w:val="00F463C9"/>
    <w:rsid w:val="00F57965"/>
    <w:rsid w:val="00F71810"/>
    <w:rsid w:val="00F72ABE"/>
    <w:rsid w:val="00F72B1B"/>
    <w:rsid w:val="00F7596C"/>
    <w:rsid w:val="00F75F2B"/>
    <w:rsid w:val="00F76733"/>
    <w:rsid w:val="00F76A86"/>
    <w:rsid w:val="00F77E12"/>
    <w:rsid w:val="00F814DE"/>
    <w:rsid w:val="00F86EE6"/>
    <w:rsid w:val="00F90045"/>
    <w:rsid w:val="00F925FE"/>
    <w:rsid w:val="00F959A1"/>
    <w:rsid w:val="00FA0472"/>
    <w:rsid w:val="00FA102D"/>
    <w:rsid w:val="00FA28D1"/>
    <w:rsid w:val="00FA6558"/>
    <w:rsid w:val="00FB2665"/>
    <w:rsid w:val="00FC3DE0"/>
    <w:rsid w:val="00FC61FD"/>
    <w:rsid w:val="00FD09FC"/>
    <w:rsid w:val="00FD2C8C"/>
    <w:rsid w:val="00FD489B"/>
    <w:rsid w:val="00FD530D"/>
    <w:rsid w:val="00FD6F1A"/>
    <w:rsid w:val="00FD791D"/>
    <w:rsid w:val="00FE0217"/>
    <w:rsid w:val="00FE6C15"/>
    <w:rsid w:val="00FF02B6"/>
    <w:rsid w:val="00FF1DFC"/>
    <w:rsid w:val="00FF3CC2"/>
    <w:rsid w:val="00FF64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E4BFD"/>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qFormat/>
    <w:rsid w:val="00042177"/>
    <w:pPr>
      <w:overflowPunct w:val="0"/>
      <w:autoSpaceDE w:val="0"/>
      <w:autoSpaceDN w:val="0"/>
      <w:adjustRightInd w:val="0"/>
      <w:spacing w:before="0" w:after="180"/>
      <w:ind w:left="568" w:hanging="284"/>
      <w:contextualSpacing w:val="0"/>
      <w:jc w:val="left"/>
      <w:textAlignment w:val="baseline"/>
    </w:pPr>
    <w:rPr>
      <w:rFonts w:ascii="Times New Roman" w:hAnsi="Times New Roman"/>
      <w:lang w:val="x-none" w:eastAsia="x-none"/>
    </w:rPr>
  </w:style>
  <w:style w:type="character" w:customStyle="1" w:styleId="B1Char">
    <w:name w:val="B1 Char"/>
    <w:link w:val="B1"/>
    <w:rsid w:val="00042177"/>
    <w:rPr>
      <w:rFonts w:ascii="Times New Roman" w:eastAsia="Times New Roman" w:hAnsi="Times New Roman"/>
      <w:lang w:val="x-none" w:eastAsia="x-none"/>
    </w:rPr>
  </w:style>
  <w:style w:type="paragraph" w:customStyle="1" w:styleId="B2">
    <w:name w:val="B2"/>
    <w:basedOn w:val="List2"/>
    <w:link w:val="B2Char"/>
    <w:rsid w:val="00042177"/>
    <w:pPr>
      <w:overflowPunct w:val="0"/>
      <w:autoSpaceDE w:val="0"/>
      <w:autoSpaceDN w:val="0"/>
      <w:adjustRightInd w:val="0"/>
      <w:spacing w:before="0" w:after="180"/>
      <w:ind w:left="851" w:hanging="284"/>
      <w:contextualSpacing w:val="0"/>
      <w:jc w:val="left"/>
      <w:textAlignment w:val="baseline"/>
    </w:pPr>
    <w:rPr>
      <w:rFonts w:ascii="Times New Roman" w:hAnsi="Times New Roman"/>
      <w:lang w:val="x-none" w:eastAsia="x-none"/>
    </w:rPr>
  </w:style>
  <w:style w:type="character" w:customStyle="1" w:styleId="B2Char">
    <w:name w:val="B2 Char"/>
    <w:link w:val="B2"/>
    <w:qFormat/>
    <w:rsid w:val="00042177"/>
    <w:rPr>
      <w:rFonts w:ascii="Times New Roman" w:eastAsia="Times New Roman" w:hAnsi="Times New Roman"/>
      <w:lang w:val="x-none" w:eastAsia="x-none"/>
    </w:rPr>
  </w:style>
  <w:style w:type="paragraph" w:styleId="List">
    <w:name w:val="List"/>
    <w:basedOn w:val="Normal"/>
    <w:uiPriority w:val="99"/>
    <w:semiHidden/>
    <w:unhideWhenUsed/>
    <w:rsid w:val="00042177"/>
    <w:pPr>
      <w:ind w:left="360" w:hanging="360"/>
      <w:contextualSpacing/>
    </w:pPr>
  </w:style>
  <w:style w:type="character" w:styleId="PlaceholderText">
    <w:name w:val="Placeholder Text"/>
    <w:basedOn w:val="DefaultParagraphFont"/>
    <w:uiPriority w:val="99"/>
    <w:semiHidden/>
    <w:rsid w:val="00FD09FC"/>
    <w:rPr>
      <w:color w:val="808080"/>
    </w:rPr>
  </w:style>
  <w:style w:type="paragraph" w:customStyle="1" w:styleId="Agreement">
    <w:name w:val="Agreement"/>
    <w:basedOn w:val="Normal"/>
    <w:next w:val="Doc-text2"/>
    <w:qFormat/>
    <w:rsid w:val="006B7B96"/>
    <w:pPr>
      <w:numPr>
        <w:numId w:val="22"/>
      </w:numPr>
      <w:spacing w:after="0"/>
      <w:jc w:val="left"/>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10303889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3C90C-8F3B-4D03-BA34-283F5D70F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696</Words>
  <Characters>3971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4658</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Milap Majmundar (AT&amp;T)</cp:lastModifiedBy>
  <cp:revision>12</cp:revision>
  <cp:lastPrinted>2018-09-28T20:14:00Z</cp:lastPrinted>
  <dcterms:created xsi:type="dcterms:W3CDTF">2021-08-05T20:36:00Z</dcterms:created>
  <dcterms:modified xsi:type="dcterms:W3CDTF">2021-08-05T22:19:00Z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